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61C2" w14:textId="77777777" w:rsidR="00B865CE" w:rsidRDefault="00B865CE" w:rsidP="00B865CE">
      <w:pPr>
        <w:tabs>
          <w:tab w:val="left" w:pos="938"/>
        </w:tabs>
        <w:spacing w:after="0"/>
        <w:jc w:val="center"/>
        <w:rPr>
          <w:rFonts w:ascii="Calibri" w:hAnsi="Calibri" w:cs="Calibri"/>
          <w:b/>
          <w:bCs/>
          <w:sz w:val="52"/>
          <w:szCs w:val="52"/>
          <w:lang w:val="en-US"/>
        </w:rPr>
      </w:pPr>
    </w:p>
    <w:p w14:paraId="261EA33B" w14:textId="5FD0C271" w:rsidR="0059627B" w:rsidRPr="002C455C" w:rsidRDefault="00A946A9" w:rsidP="00B865CE">
      <w:pPr>
        <w:tabs>
          <w:tab w:val="left" w:pos="938"/>
        </w:tabs>
        <w:spacing w:after="0"/>
        <w:jc w:val="center"/>
        <w:rPr>
          <w:rFonts w:ascii="Calibri" w:hAnsi="Calibri" w:cs="Calibri"/>
          <w:b/>
          <w:bCs/>
          <w:sz w:val="52"/>
          <w:szCs w:val="52"/>
        </w:rPr>
      </w:pPr>
      <w:r w:rsidRPr="002C455C">
        <w:rPr>
          <w:rFonts w:ascii="Calibri" w:hAnsi="Calibri" w:cs="Calibri"/>
          <w:b/>
          <w:bCs/>
          <w:sz w:val="52"/>
          <w:szCs w:val="52"/>
        </w:rPr>
        <w:t xml:space="preserve">IHC’s Board Approves the </w:t>
      </w:r>
      <w:r w:rsidR="00FC60E3" w:rsidRPr="002C455C">
        <w:rPr>
          <w:rFonts w:ascii="Calibri" w:hAnsi="Calibri" w:cs="Calibri"/>
          <w:b/>
          <w:bCs/>
          <w:sz w:val="52"/>
          <w:szCs w:val="52"/>
        </w:rPr>
        <w:t xml:space="preserve">Initiation </w:t>
      </w:r>
      <w:r w:rsidR="00F84095" w:rsidRPr="002C455C">
        <w:rPr>
          <w:rFonts w:ascii="Calibri" w:hAnsi="Calibri" w:cs="Calibri"/>
          <w:b/>
          <w:bCs/>
          <w:sz w:val="52"/>
          <w:szCs w:val="52"/>
        </w:rPr>
        <w:t xml:space="preserve">of </w:t>
      </w:r>
      <w:r w:rsidRPr="002C455C">
        <w:rPr>
          <w:rFonts w:ascii="Calibri" w:hAnsi="Calibri" w:cs="Calibri"/>
          <w:b/>
          <w:bCs/>
          <w:sz w:val="52"/>
          <w:szCs w:val="52"/>
        </w:rPr>
        <w:t>Chimera Investment</w:t>
      </w:r>
      <w:r w:rsidR="00FC60E3" w:rsidRPr="002C455C">
        <w:rPr>
          <w:rFonts w:ascii="Calibri" w:hAnsi="Calibri" w:cs="Calibri"/>
          <w:b/>
          <w:bCs/>
          <w:sz w:val="52"/>
          <w:szCs w:val="52"/>
        </w:rPr>
        <w:t xml:space="preserve"> </w:t>
      </w:r>
      <w:r w:rsidR="00DA352B" w:rsidRPr="002C455C">
        <w:rPr>
          <w:rFonts w:ascii="Calibri" w:hAnsi="Calibri" w:cs="Calibri"/>
          <w:b/>
          <w:bCs/>
          <w:sz w:val="52"/>
          <w:szCs w:val="52"/>
        </w:rPr>
        <w:t>Transaction</w:t>
      </w:r>
    </w:p>
    <w:p w14:paraId="4B0B54DF" w14:textId="77777777" w:rsidR="00B04A5E" w:rsidRPr="002C455C" w:rsidRDefault="00B04A5E" w:rsidP="003A23D1">
      <w:pPr>
        <w:spacing w:after="0"/>
        <w:rPr>
          <w:rFonts w:ascii="Calibri" w:hAnsi="Calibri" w:cs="Calibri"/>
          <w:b/>
          <w:bCs/>
          <w:sz w:val="27"/>
          <w:szCs w:val="27"/>
        </w:rPr>
      </w:pPr>
    </w:p>
    <w:p w14:paraId="2170238C" w14:textId="661063D6" w:rsidR="00A37F73" w:rsidRPr="0016727F" w:rsidRDefault="00F84095" w:rsidP="00902F6A">
      <w:pPr>
        <w:pStyle w:val="ListParagraph"/>
        <w:numPr>
          <w:ilvl w:val="0"/>
          <w:numId w:val="5"/>
        </w:numPr>
        <w:tabs>
          <w:tab w:val="clear" w:pos="252"/>
        </w:tabs>
        <w:spacing w:after="0"/>
        <w:ind w:left="0"/>
        <w:jc w:val="both"/>
        <w:rPr>
          <w:rFonts w:ascii="Calibri" w:hAnsi="Calibri" w:cs="Calibri"/>
          <w:b/>
          <w:sz w:val="24"/>
          <w:szCs w:val="24"/>
          <w:lang w:val="en-US"/>
        </w:rPr>
      </w:pPr>
      <w:r w:rsidRPr="0016727F">
        <w:rPr>
          <w:rFonts w:ascii="Calibri" w:hAnsi="Calibri" w:cs="Calibri"/>
          <w:b/>
          <w:sz w:val="24"/>
          <w:szCs w:val="24"/>
          <w:lang w:val="en-US"/>
        </w:rPr>
        <w:t>Chimera Investment</w:t>
      </w:r>
      <w:r w:rsidR="00357B11" w:rsidRPr="0016727F">
        <w:rPr>
          <w:rFonts w:ascii="Calibri" w:hAnsi="Calibri" w:cs="Calibri" w:hint="cs"/>
          <w:b/>
          <w:sz w:val="24"/>
          <w:szCs w:val="24"/>
          <w:rtl/>
          <w:lang w:val="en-US"/>
        </w:rPr>
        <w:t xml:space="preserve"> </w:t>
      </w:r>
      <w:r w:rsidR="00CA1A93" w:rsidRPr="0016727F">
        <w:rPr>
          <w:rFonts w:ascii="Calibri" w:hAnsi="Calibri" w:cs="Calibri"/>
          <w:b/>
          <w:sz w:val="24"/>
          <w:szCs w:val="24"/>
          <w:lang w:val="en-US"/>
        </w:rPr>
        <w:t>has AED 2</w:t>
      </w:r>
      <w:r w:rsidR="00516824" w:rsidRPr="0016727F">
        <w:rPr>
          <w:rFonts w:ascii="Calibri" w:hAnsi="Calibri" w:cs="Calibri"/>
          <w:b/>
          <w:sz w:val="24"/>
          <w:szCs w:val="24"/>
          <w:lang w:val="en-US"/>
        </w:rPr>
        <w:t>2</w:t>
      </w:r>
      <w:r w:rsidR="00CA1A93" w:rsidRPr="0016727F">
        <w:rPr>
          <w:rFonts w:ascii="Calibri" w:hAnsi="Calibri" w:cs="Calibri"/>
          <w:b/>
          <w:sz w:val="24"/>
          <w:szCs w:val="24"/>
          <w:lang w:val="en-US"/>
        </w:rPr>
        <w:t xml:space="preserve"> billion in a diversified portfolio of proprietary assets</w:t>
      </w:r>
      <w:r w:rsidR="00A37F73" w:rsidRPr="0016727F">
        <w:rPr>
          <w:rFonts w:ascii="Calibri" w:hAnsi="Calibri" w:cs="Calibri"/>
          <w:b/>
          <w:sz w:val="24"/>
          <w:szCs w:val="24"/>
          <w:lang w:val="en-US"/>
        </w:rPr>
        <w:t>.</w:t>
      </w:r>
    </w:p>
    <w:p w14:paraId="30EDF377" w14:textId="25C1CC91" w:rsidR="00A37F73" w:rsidRPr="0016727F" w:rsidRDefault="00A37F73" w:rsidP="00902F6A">
      <w:pPr>
        <w:pStyle w:val="ListParagraph"/>
        <w:numPr>
          <w:ilvl w:val="0"/>
          <w:numId w:val="5"/>
        </w:numPr>
        <w:tabs>
          <w:tab w:val="clear" w:pos="252"/>
        </w:tabs>
        <w:spacing w:after="0"/>
        <w:ind w:left="0"/>
        <w:jc w:val="both"/>
        <w:rPr>
          <w:rFonts w:ascii="Calibri" w:hAnsi="Calibri" w:cs="Calibri"/>
          <w:b/>
          <w:sz w:val="24"/>
          <w:szCs w:val="24"/>
          <w:lang w:val="en-US"/>
        </w:rPr>
      </w:pPr>
      <w:r w:rsidRPr="0016727F">
        <w:rPr>
          <w:rFonts w:ascii="Calibri" w:hAnsi="Calibri" w:cs="Calibri"/>
          <w:b/>
          <w:sz w:val="24"/>
          <w:szCs w:val="24"/>
          <w:lang w:val="en-US"/>
        </w:rPr>
        <w:t>Chimera Investment</w:t>
      </w:r>
      <w:r w:rsidR="00A40250" w:rsidRPr="0016727F">
        <w:rPr>
          <w:rFonts w:ascii="Calibri" w:hAnsi="Calibri" w:cs="Calibri"/>
          <w:b/>
          <w:sz w:val="24"/>
          <w:szCs w:val="24"/>
          <w:lang w:val="en-US"/>
        </w:rPr>
        <w:t>’s</w:t>
      </w:r>
      <w:r w:rsidRPr="0016727F">
        <w:rPr>
          <w:rFonts w:ascii="Calibri" w:hAnsi="Calibri" w:cs="Calibri" w:hint="cs"/>
          <w:b/>
          <w:sz w:val="24"/>
          <w:szCs w:val="24"/>
          <w:rtl/>
          <w:lang w:val="en-US"/>
        </w:rPr>
        <w:t xml:space="preserve"> </w:t>
      </w:r>
      <w:r w:rsidRPr="0016727F">
        <w:rPr>
          <w:rFonts w:ascii="Calibri" w:hAnsi="Calibri" w:cs="Calibri"/>
          <w:b/>
          <w:sz w:val="24"/>
          <w:szCs w:val="24"/>
          <w:lang w:val="en-US"/>
        </w:rPr>
        <w:t>fu</w:t>
      </w:r>
      <w:r w:rsidR="00CA1A93" w:rsidRPr="0016727F">
        <w:rPr>
          <w:rFonts w:ascii="Calibri" w:hAnsi="Calibri" w:cs="Calibri"/>
          <w:b/>
          <w:sz w:val="24"/>
          <w:szCs w:val="24"/>
          <w:lang w:val="en-US"/>
        </w:rPr>
        <w:t xml:space="preserve">lly owned subsidiary </w:t>
      </w:r>
      <w:r w:rsidR="00AC413E" w:rsidRPr="0016727F">
        <w:rPr>
          <w:rFonts w:ascii="Calibri" w:hAnsi="Calibri" w:cs="Calibri"/>
          <w:b/>
          <w:sz w:val="24"/>
          <w:szCs w:val="24"/>
        </w:rPr>
        <w:t xml:space="preserve">Chimera Capital Holding </w:t>
      </w:r>
      <w:r w:rsidR="00F84095" w:rsidRPr="0016727F">
        <w:rPr>
          <w:rFonts w:ascii="Calibri" w:hAnsi="Calibri" w:cs="Calibri"/>
          <w:b/>
          <w:sz w:val="24"/>
          <w:szCs w:val="24"/>
          <w:lang w:val="en-US"/>
        </w:rPr>
        <w:t xml:space="preserve">manages </w:t>
      </w:r>
      <w:r w:rsidR="00CA1A93" w:rsidRPr="0016727F">
        <w:rPr>
          <w:rFonts w:ascii="Calibri" w:hAnsi="Calibri" w:cs="Calibri"/>
          <w:b/>
          <w:sz w:val="24"/>
          <w:szCs w:val="24"/>
          <w:lang w:val="en-US"/>
        </w:rPr>
        <w:t xml:space="preserve">over </w:t>
      </w:r>
      <w:r w:rsidR="00F84095" w:rsidRPr="0016727F">
        <w:rPr>
          <w:rFonts w:ascii="Calibri" w:hAnsi="Calibri" w:cs="Calibri"/>
          <w:b/>
          <w:sz w:val="24"/>
          <w:szCs w:val="24"/>
          <w:lang w:val="en-US"/>
        </w:rPr>
        <w:t xml:space="preserve">AED </w:t>
      </w:r>
      <w:r w:rsidR="00085BFB" w:rsidRPr="0016727F">
        <w:rPr>
          <w:rFonts w:ascii="Calibri" w:hAnsi="Calibri" w:cs="Calibri"/>
          <w:b/>
          <w:sz w:val="24"/>
          <w:szCs w:val="24"/>
          <w:lang w:val="en-US"/>
        </w:rPr>
        <w:t>48</w:t>
      </w:r>
      <w:r w:rsidR="00F84095" w:rsidRPr="0016727F">
        <w:rPr>
          <w:rFonts w:ascii="Calibri" w:hAnsi="Calibri" w:cs="Calibri"/>
          <w:b/>
          <w:sz w:val="24"/>
          <w:szCs w:val="24"/>
          <w:lang w:val="en-US"/>
        </w:rPr>
        <w:t xml:space="preserve"> billion</w:t>
      </w:r>
      <w:r w:rsidR="00CA1A93" w:rsidRPr="0016727F">
        <w:rPr>
          <w:rFonts w:ascii="Calibri" w:hAnsi="Calibri" w:cs="Calibri"/>
          <w:b/>
          <w:sz w:val="24"/>
          <w:szCs w:val="24"/>
          <w:lang w:val="en-US"/>
        </w:rPr>
        <w:t xml:space="preserve"> of assets under management</w:t>
      </w:r>
      <w:r w:rsidRPr="0016727F">
        <w:rPr>
          <w:rFonts w:ascii="Calibri" w:hAnsi="Calibri" w:cs="Calibri"/>
          <w:b/>
          <w:sz w:val="24"/>
          <w:szCs w:val="24"/>
          <w:lang w:val="en-US"/>
        </w:rPr>
        <w:t>.</w:t>
      </w:r>
    </w:p>
    <w:p w14:paraId="2A475FEF" w14:textId="45E6C67D" w:rsidR="00F84095" w:rsidRPr="0016727F" w:rsidRDefault="00902F6A" w:rsidP="00902F6A">
      <w:pPr>
        <w:pStyle w:val="ListParagraph"/>
        <w:numPr>
          <w:ilvl w:val="0"/>
          <w:numId w:val="5"/>
        </w:numPr>
        <w:tabs>
          <w:tab w:val="clear" w:pos="252"/>
        </w:tabs>
        <w:spacing w:after="0"/>
        <w:ind w:left="0"/>
        <w:jc w:val="both"/>
        <w:rPr>
          <w:rFonts w:ascii="Calibri" w:hAnsi="Calibri" w:cs="Calibri"/>
          <w:b/>
          <w:sz w:val="24"/>
          <w:szCs w:val="24"/>
          <w:lang w:val="en-US"/>
        </w:rPr>
      </w:pPr>
      <w:r w:rsidRPr="0016727F">
        <w:rPr>
          <w:rFonts w:ascii="Calibri" w:hAnsi="Calibri" w:cs="Calibri"/>
          <w:b/>
          <w:sz w:val="24"/>
          <w:szCs w:val="24"/>
          <w:lang w:val="en-US"/>
        </w:rPr>
        <w:t xml:space="preserve"> </w:t>
      </w:r>
      <w:r w:rsidR="00AC413E" w:rsidRPr="0016727F">
        <w:rPr>
          <w:rFonts w:ascii="Calibri" w:hAnsi="Calibri" w:cs="Calibri"/>
          <w:b/>
          <w:sz w:val="24"/>
          <w:szCs w:val="24"/>
        </w:rPr>
        <w:t xml:space="preserve">Chimera Capital Holding </w:t>
      </w:r>
      <w:r w:rsidRPr="0016727F">
        <w:rPr>
          <w:rFonts w:ascii="Calibri" w:hAnsi="Calibri" w:cs="Calibri"/>
          <w:b/>
          <w:sz w:val="24"/>
          <w:szCs w:val="24"/>
          <w:lang w:val="en-US"/>
        </w:rPr>
        <w:t>has stakes in GPs that have assets under management worth AED 26 billion</w:t>
      </w:r>
      <w:r w:rsidR="00CC481D" w:rsidRPr="0016727F">
        <w:rPr>
          <w:rFonts w:ascii="Calibri" w:hAnsi="Calibri" w:cs="Calibri"/>
          <w:b/>
          <w:sz w:val="24"/>
          <w:szCs w:val="24"/>
          <w:lang w:val="en-US"/>
        </w:rPr>
        <w:t>.</w:t>
      </w:r>
    </w:p>
    <w:p w14:paraId="5BE046A0" w14:textId="77777777" w:rsidR="00194951" w:rsidRPr="0016727F" w:rsidRDefault="00194951" w:rsidP="00194951">
      <w:pPr>
        <w:pStyle w:val="ListParagraph"/>
        <w:numPr>
          <w:ilvl w:val="0"/>
          <w:numId w:val="0"/>
        </w:numPr>
        <w:tabs>
          <w:tab w:val="clear" w:pos="252"/>
        </w:tabs>
        <w:spacing w:after="0"/>
        <w:jc w:val="both"/>
        <w:rPr>
          <w:rFonts w:ascii="Calibri" w:hAnsi="Calibri" w:cs="Calibri"/>
          <w:b/>
          <w:sz w:val="8"/>
          <w:szCs w:val="8"/>
          <w:lang w:val="en-US"/>
        </w:rPr>
      </w:pPr>
    </w:p>
    <w:p w14:paraId="6711CE26" w14:textId="4E5A475A" w:rsidR="0059627B" w:rsidRPr="0016727F" w:rsidRDefault="00DA352B" w:rsidP="00817AF2">
      <w:pPr>
        <w:pStyle w:val="ListParagraph"/>
        <w:numPr>
          <w:ilvl w:val="0"/>
          <w:numId w:val="5"/>
        </w:numPr>
        <w:tabs>
          <w:tab w:val="clear" w:pos="252"/>
        </w:tabs>
        <w:spacing w:after="0"/>
        <w:ind w:left="0"/>
        <w:jc w:val="both"/>
        <w:rPr>
          <w:rFonts w:ascii="Calibri" w:hAnsi="Calibri" w:cs="Calibri"/>
          <w:b/>
          <w:sz w:val="24"/>
          <w:szCs w:val="24"/>
          <w:lang w:val="en-US"/>
        </w:rPr>
      </w:pPr>
      <w:r w:rsidRPr="0016727F">
        <w:rPr>
          <w:rFonts w:ascii="Calibri" w:hAnsi="Calibri" w:cs="Calibri"/>
          <w:b/>
          <w:sz w:val="24"/>
          <w:szCs w:val="24"/>
          <w:lang w:val="en-US"/>
        </w:rPr>
        <w:t>The transaction</w:t>
      </w:r>
      <w:r w:rsidR="00817AF2" w:rsidRPr="0016727F">
        <w:rPr>
          <w:rFonts w:ascii="Calibri" w:hAnsi="Calibri" w:cs="Calibri"/>
          <w:b/>
          <w:sz w:val="24"/>
          <w:szCs w:val="24"/>
          <w:lang w:val="en-US"/>
        </w:rPr>
        <w:t xml:space="preserve"> will be made through the common control method</w:t>
      </w:r>
      <w:r w:rsidRPr="0016727F">
        <w:rPr>
          <w:rFonts w:ascii="Calibri" w:hAnsi="Calibri" w:cs="Calibri"/>
          <w:b/>
          <w:sz w:val="24"/>
          <w:szCs w:val="24"/>
          <w:lang w:val="en-US"/>
        </w:rPr>
        <w:t>.</w:t>
      </w:r>
      <w:r w:rsidR="00516824" w:rsidRPr="0016727F">
        <w:rPr>
          <w:rFonts w:ascii="Calibri" w:hAnsi="Calibri" w:cs="Calibri"/>
          <w:b/>
          <w:sz w:val="24"/>
          <w:szCs w:val="24"/>
          <w:lang w:val="en-US"/>
        </w:rPr>
        <w:t xml:space="preserve"> </w:t>
      </w:r>
    </w:p>
    <w:p w14:paraId="1F30CD0E" w14:textId="77777777" w:rsidR="003A23D1" w:rsidRPr="002C455C" w:rsidRDefault="003A23D1" w:rsidP="003A23D1">
      <w:pPr>
        <w:spacing w:after="0"/>
        <w:jc w:val="both"/>
        <w:rPr>
          <w:rFonts w:ascii="Calibri" w:hAnsi="Calibri" w:cs="Calibri"/>
          <w:sz w:val="27"/>
          <w:szCs w:val="27"/>
        </w:rPr>
      </w:pPr>
    </w:p>
    <w:p w14:paraId="11ABBFCC" w14:textId="7A1DE50C" w:rsidR="005B0963" w:rsidRPr="0016727F" w:rsidRDefault="00B04A5E" w:rsidP="00395E91">
      <w:pPr>
        <w:pStyle w:val="Default"/>
        <w:jc w:val="both"/>
        <w:rPr>
          <w:rFonts w:ascii="Calibri" w:hAnsi="Calibri" w:cs="Calibri"/>
          <w:color w:val="auto"/>
          <w:lang w:val="en-US"/>
        </w:rPr>
      </w:pPr>
      <w:r w:rsidRPr="0016727F">
        <w:rPr>
          <w:rFonts w:ascii="Calibri" w:hAnsi="Calibri" w:cs="Calibri"/>
          <w:b/>
          <w:bCs/>
          <w:color w:val="auto"/>
        </w:rPr>
        <w:t xml:space="preserve">Abu Dhabi, </w:t>
      </w:r>
      <w:r w:rsidR="00376516" w:rsidRPr="0016727F">
        <w:rPr>
          <w:rFonts w:ascii="Calibri" w:hAnsi="Calibri" w:cs="Calibri"/>
          <w:b/>
          <w:bCs/>
          <w:color w:val="auto"/>
        </w:rPr>
        <w:t>1</w:t>
      </w:r>
      <w:r w:rsidR="00236EAF">
        <w:rPr>
          <w:rFonts w:ascii="Calibri" w:hAnsi="Calibri" w:cs="Calibri"/>
          <w:b/>
          <w:bCs/>
          <w:color w:val="auto"/>
        </w:rPr>
        <w:t>4</w:t>
      </w:r>
      <w:r w:rsidR="00752D09" w:rsidRPr="0016727F">
        <w:rPr>
          <w:rFonts w:ascii="Calibri" w:hAnsi="Calibri" w:cs="Calibri"/>
          <w:b/>
          <w:bCs/>
          <w:color w:val="auto"/>
        </w:rPr>
        <w:t xml:space="preserve"> </w:t>
      </w:r>
      <w:r w:rsidR="0059627B" w:rsidRPr="0016727F">
        <w:rPr>
          <w:rFonts w:ascii="Calibri" w:hAnsi="Calibri" w:cs="Calibri"/>
          <w:b/>
          <w:bCs/>
          <w:color w:val="auto"/>
        </w:rPr>
        <w:t>March</w:t>
      </w:r>
      <w:r w:rsidRPr="0016727F">
        <w:rPr>
          <w:rFonts w:ascii="Calibri" w:hAnsi="Calibri" w:cs="Calibri"/>
          <w:b/>
          <w:bCs/>
          <w:color w:val="auto"/>
        </w:rPr>
        <w:t xml:space="preserve"> 2023:</w:t>
      </w:r>
      <w:r w:rsidR="00D61524" w:rsidRPr="0016727F">
        <w:rPr>
          <w:rFonts w:ascii="Calibri" w:hAnsi="Calibri" w:cs="Calibri"/>
          <w:b/>
          <w:bCs/>
          <w:color w:val="auto"/>
        </w:rPr>
        <w:t xml:space="preserve"> </w:t>
      </w:r>
      <w:r w:rsidR="005B0963" w:rsidRPr="0016727F">
        <w:rPr>
          <w:rFonts w:ascii="Calibri" w:hAnsi="Calibri" w:cs="Calibri"/>
          <w:color w:val="auto"/>
        </w:rPr>
        <w:t>International Holding Company (ADX: IHC)</w:t>
      </w:r>
      <w:r w:rsidR="008132AB" w:rsidRPr="0016727F">
        <w:rPr>
          <w:rFonts w:ascii="Calibri" w:hAnsi="Calibri" w:cs="Calibri"/>
          <w:color w:val="auto"/>
        </w:rPr>
        <w:t xml:space="preserve"> </w:t>
      </w:r>
      <w:r w:rsidR="005B0963" w:rsidRPr="0016727F">
        <w:rPr>
          <w:rFonts w:ascii="Calibri" w:hAnsi="Calibri" w:cs="Calibri"/>
          <w:color w:val="auto"/>
        </w:rPr>
        <w:t>Board of Directors</w:t>
      </w:r>
      <w:r w:rsidR="008132AB" w:rsidRPr="0016727F">
        <w:rPr>
          <w:rFonts w:ascii="Calibri" w:hAnsi="Calibri" w:cs="Calibri"/>
          <w:color w:val="auto"/>
        </w:rPr>
        <w:t>,</w:t>
      </w:r>
      <w:r w:rsidR="005B0963" w:rsidRPr="0016727F">
        <w:rPr>
          <w:rFonts w:ascii="Calibri" w:hAnsi="Calibri" w:cs="Calibri"/>
          <w:color w:val="auto"/>
        </w:rPr>
        <w:t xml:space="preserve"> has </w:t>
      </w:r>
      <w:r w:rsidR="00FC60E3" w:rsidRPr="0016727F">
        <w:rPr>
          <w:rFonts w:ascii="Calibri" w:hAnsi="Calibri" w:cs="Calibri"/>
          <w:color w:val="auto"/>
        </w:rPr>
        <w:t xml:space="preserve">approved the initiation </w:t>
      </w:r>
      <w:r w:rsidR="00962650" w:rsidRPr="0016727F">
        <w:rPr>
          <w:rFonts w:ascii="Calibri" w:hAnsi="Calibri" w:cs="Calibri"/>
          <w:color w:val="auto"/>
        </w:rPr>
        <w:t xml:space="preserve">of the </w:t>
      </w:r>
      <w:r w:rsidR="00CA1A93" w:rsidRPr="0016727F">
        <w:rPr>
          <w:rFonts w:ascii="Calibri" w:hAnsi="Calibri" w:cs="Calibri"/>
          <w:color w:val="auto"/>
        </w:rPr>
        <w:t xml:space="preserve"> </w:t>
      </w:r>
      <w:r w:rsidR="005B0963" w:rsidRPr="0016727F">
        <w:rPr>
          <w:rFonts w:ascii="Calibri" w:hAnsi="Calibri" w:cs="Calibri"/>
          <w:color w:val="auto"/>
        </w:rPr>
        <w:t>Chimera</w:t>
      </w:r>
      <w:r w:rsidR="00DA352B" w:rsidRPr="0016727F">
        <w:rPr>
          <w:rFonts w:ascii="Calibri" w:hAnsi="Calibri" w:cs="Calibri"/>
          <w:color w:val="auto"/>
        </w:rPr>
        <w:t xml:space="preserve"> </w:t>
      </w:r>
      <w:r w:rsidR="00DA352B" w:rsidRPr="0016727F">
        <w:rPr>
          <w:rFonts w:ascii="Calibri" w:hAnsi="Calibri" w:cs="Calibri"/>
          <w:bCs/>
          <w:color w:val="auto"/>
          <w:lang w:val="en-US"/>
        </w:rPr>
        <w:t>Investment</w:t>
      </w:r>
      <w:r w:rsidR="00CA1A93" w:rsidRPr="0016727F">
        <w:rPr>
          <w:rFonts w:ascii="Calibri" w:hAnsi="Calibri" w:cs="Calibri"/>
          <w:color w:val="auto"/>
        </w:rPr>
        <w:t xml:space="preserve"> </w:t>
      </w:r>
      <w:r w:rsidR="00DA352B" w:rsidRPr="0016727F">
        <w:rPr>
          <w:rFonts w:ascii="Calibri" w:hAnsi="Calibri" w:cs="Calibri"/>
          <w:color w:val="auto"/>
        </w:rPr>
        <w:t xml:space="preserve">transaction, which will be </w:t>
      </w:r>
      <w:r w:rsidR="005B0963" w:rsidRPr="0016727F">
        <w:rPr>
          <w:rFonts w:ascii="Calibri" w:hAnsi="Calibri" w:cs="Calibri"/>
          <w:color w:val="auto"/>
        </w:rPr>
        <w:t xml:space="preserve">under </w:t>
      </w:r>
      <w:r w:rsidR="00CA1A93" w:rsidRPr="0016727F">
        <w:rPr>
          <w:rFonts w:ascii="Calibri" w:hAnsi="Calibri" w:cs="Calibri"/>
          <w:color w:val="auto"/>
        </w:rPr>
        <w:t>IHC’s</w:t>
      </w:r>
      <w:r w:rsidR="005B0963" w:rsidRPr="0016727F">
        <w:rPr>
          <w:rFonts w:ascii="Calibri" w:hAnsi="Calibri" w:cs="Calibri"/>
          <w:color w:val="auto"/>
        </w:rPr>
        <w:t xml:space="preserve"> group</w:t>
      </w:r>
      <w:r w:rsidR="00395E91" w:rsidRPr="0016727F">
        <w:rPr>
          <w:rFonts w:ascii="Calibri" w:hAnsi="Calibri" w:cs="Calibri"/>
          <w:color w:val="auto"/>
        </w:rPr>
        <w:t xml:space="preserve"> of subsidiaries</w:t>
      </w:r>
      <w:r w:rsidR="005B0963" w:rsidRPr="0016727F">
        <w:rPr>
          <w:rFonts w:ascii="Calibri" w:hAnsi="Calibri" w:cs="Calibri"/>
          <w:color w:val="auto"/>
        </w:rPr>
        <w:t xml:space="preserve"> through </w:t>
      </w:r>
      <w:r w:rsidR="00DA352B" w:rsidRPr="0016727F">
        <w:rPr>
          <w:rFonts w:ascii="Calibri" w:hAnsi="Calibri" w:cs="Calibri"/>
          <w:color w:val="auto"/>
        </w:rPr>
        <w:t xml:space="preserve">the </w:t>
      </w:r>
      <w:r w:rsidR="005B0963" w:rsidRPr="0016727F">
        <w:rPr>
          <w:rFonts w:ascii="Calibri" w:hAnsi="Calibri" w:cs="Calibri"/>
          <w:color w:val="auto"/>
        </w:rPr>
        <w:t xml:space="preserve">common control </w:t>
      </w:r>
      <w:r w:rsidR="00DA352B" w:rsidRPr="0016727F">
        <w:rPr>
          <w:rFonts w:ascii="Calibri" w:hAnsi="Calibri" w:cs="Calibri"/>
          <w:bCs/>
          <w:color w:val="auto"/>
          <w:lang w:val="en-US"/>
        </w:rPr>
        <w:t>method</w:t>
      </w:r>
      <w:r w:rsidR="00DA352B" w:rsidRPr="0016727F">
        <w:rPr>
          <w:rFonts w:ascii="Calibri" w:hAnsi="Calibri" w:cs="Calibri"/>
          <w:color w:val="auto"/>
        </w:rPr>
        <w:t xml:space="preserve">, </w:t>
      </w:r>
      <w:r w:rsidR="00516824" w:rsidRPr="0016727F">
        <w:rPr>
          <w:rFonts w:ascii="Calibri" w:hAnsi="Calibri" w:cs="Calibri"/>
          <w:bCs/>
          <w:color w:val="auto"/>
          <w:lang w:val="en-US"/>
        </w:rPr>
        <w:t>subject to the requisite regulatory approvals</w:t>
      </w:r>
      <w:r w:rsidR="005B0963" w:rsidRPr="0016727F">
        <w:rPr>
          <w:rFonts w:ascii="Calibri" w:hAnsi="Calibri" w:cs="Calibri"/>
          <w:color w:val="auto"/>
        </w:rPr>
        <w:t xml:space="preserve">. </w:t>
      </w:r>
    </w:p>
    <w:p w14:paraId="22A57CB1" w14:textId="4D409FD9" w:rsidR="00CA1A93" w:rsidRPr="0016727F" w:rsidRDefault="00CA1A93" w:rsidP="00395E91">
      <w:pPr>
        <w:pStyle w:val="Default"/>
        <w:jc w:val="both"/>
        <w:rPr>
          <w:rFonts w:ascii="Calibri" w:hAnsi="Calibri" w:cs="Calibri"/>
          <w:color w:val="auto"/>
        </w:rPr>
      </w:pPr>
    </w:p>
    <w:p w14:paraId="7D36BFF6" w14:textId="43F41F3A" w:rsidR="00902F6A" w:rsidRPr="0016727F" w:rsidRDefault="00CA1A93" w:rsidP="00085BFB">
      <w:pPr>
        <w:pStyle w:val="Default"/>
        <w:jc w:val="both"/>
        <w:rPr>
          <w:rFonts w:ascii="Calibri" w:hAnsi="Calibri" w:cs="Calibri"/>
          <w:color w:val="auto"/>
        </w:rPr>
      </w:pPr>
      <w:r w:rsidRPr="0016727F">
        <w:rPr>
          <w:rFonts w:ascii="Calibri" w:hAnsi="Calibri" w:cs="Calibri"/>
          <w:color w:val="auto"/>
        </w:rPr>
        <w:t xml:space="preserve">Chimera Investment </w:t>
      </w:r>
      <w:r w:rsidR="00516824" w:rsidRPr="0016727F">
        <w:rPr>
          <w:rFonts w:ascii="Calibri" w:hAnsi="Calibri" w:cs="Calibri"/>
          <w:color w:val="auto"/>
        </w:rPr>
        <w:t xml:space="preserve">owns </w:t>
      </w:r>
      <w:r w:rsidRPr="0016727F">
        <w:rPr>
          <w:rFonts w:ascii="Calibri" w:hAnsi="Calibri" w:cs="Calibri"/>
          <w:color w:val="auto"/>
        </w:rPr>
        <w:t>Chimera Capital Holding and its subsidiaries namely Chimera Capital Limited, an asset manager licensed and regulated by the Abu Dhabi Global Market (ADGM)</w:t>
      </w:r>
      <w:r w:rsidR="00F733B9" w:rsidRPr="0016727F">
        <w:rPr>
          <w:rFonts w:ascii="Calibri" w:hAnsi="Calibri" w:cs="Calibri"/>
          <w:color w:val="auto"/>
        </w:rPr>
        <w:t xml:space="preserve"> Financial Services</w:t>
      </w:r>
      <w:r w:rsidR="00516824" w:rsidRPr="0016727F">
        <w:rPr>
          <w:rFonts w:ascii="Calibri" w:hAnsi="Calibri" w:cs="Calibri"/>
          <w:color w:val="auto"/>
        </w:rPr>
        <w:t xml:space="preserve"> Regulatory</w:t>
      </w:r>
      <w:r w:rsidR="00F733B9" w:rsidRPr="0016727F">
        <w:rPr>
          <w:rFonts w:ascii="Calibri" w:hAnsi="Calibri" w:cs="Calibri"/>
          <w:color w:val="auto"/>
        </w:rPr>
        <w:t xml:space="preserve"> Authority</w:t>
      </w:r>
      <w:r w:rsidR="00A40250" w:rsidRPr="0016727F">
        <w:rPr>
          <w:rFonts w:ascii="Calibri" w:hAnsi="Calibri" w:cs="Calibri"/>
          <w:color w:val="auto"/>
        </w:rPr>
        <w:t xml:space="preserve"> and is approved by the Central Bank of Ireland to act as an investment manager to Irish authorised investment funds</w:t>
      </w:r>
      <w:r w:rsidR="00516824" w:rsidRPr="0016727F">
        <w:rPr>
          <w:rFonts w:ascii="Calibri" w:hAnsi="Calibri" w:cs="Calibri"/>
          <w:color w:val="auto"/>
        </w:rPr>
        <w:t>,</w:t>
      </w:r>
      <w:r w:rsidR="00F733B9" w:rsidRPr="0016727F">
        <w:rPr>
          <w:rFonts w:ascii="Calibri" w:hAnsi="Calibri" w:cs="Calibri"/>
          <w:color w:val="auto"/>
        </w:rPr>
        <w:t xml:space="preserve"> and Chimera Capital, an investment management company licensed and regulated by the Securities and Commodities Authority (SCA).</w:t>
      </w:r>
      <w:r w:rsidR="00902F6A" w:rsidRPr="0016727F">
        <w:rPr>
          <w:rFonts w:ascii="Calibri" w:hAnsi="Calibri" w:cs="Calibri"/>
          <w:color w:val="auto"/>
        </w:rPr>
        <w:t xml:space="preserve"> Chimera also offers corporate finance advisory services where it has advised IHC previously on its acquisition of 50% of Kalyon Enerji Holding in Turkey in 2022, as well as, Q Holding PJSC on its acquisition of Tamouh Investment in 2021.</w:t>
      </w:r>
    </w:p>
    <w:p w14:paraId="1ECDB5A2" w14:textId="77777777" w:rsidR="00902F6A" w:rsidRPr="0016727F" w:rsidRDefault="00902F6A" w:rsidP="00085BFB">
      <w:pPr>
        <w:pStyle w:val="Default"/>
        <w:jc w:val="both"/>
        <w:rPr>
          <w:rFonts w:ascii="Calibri" w:hAnsi="Calibri" w:cs="Calibri"/>
          <w:color w:val="auto"/>
        </w:rPr>
      </w:pPr>
    </w:p>
    <w:p w14:paraId="478BC8C0" w14:textId="23DB2849" w:rsidR="00F733B9" w:rsidRPr="0016727F" w:rsidRDefault="00902F6A" w:rsidP="00395E91">
      <w:pPr>
        <w:pStyle w:val="Default"/>
        <w:jc w:val="both"/>
        <w:rPr>
          <w:rFonts w:ascii="Calibri" w:hAnsi="Calibri" w:cs="Calibri"/>
          <w:color w:val="auto"/>
        </w:rPr>
      </w:pPr>
      <w:r w:rsidRPr="0016727F">
        <w:rPr>
          <w:rFonts w:ascii="Calibri" w:hAnsi="Calibri" w:cs="Calibri"/>
          <w:color w:val="auto"/>
        </w:rPr>
        <w:t>Chimera is focused on building unique products for third party clients across various asset classes including public markets, private equity, venture capital and credit strategies.</w:t>
      </w:r>
      <w:r w:rsidR="00BE6268" w:rsidRPr="0016727F">
        <w:rPr>
          <w:rFonts w:ascii="Calibri" w:hAnsi="Calibri" w:cs="Calibri"/>
          <w:color w:val="auto"/>
        </w:rPr>
        <w:t xml:space="preserve"> With over US$ 10 billion in global </w:t>
      </w:r>
      <w:r w:rsidR="0016727F" w:rsidRPr="0016727F">
        <w:rPr>
          <w:rFonts w:ascii="Calibri" w:hAnsi="Calibri" w:cs="Calibri"/>
          <w:color w:val="auto"/>
        </w:rPr>
        <w:t>Venture Capital</w:t>
      </w:r>
      <w:r w:rsidR="00BE6268" w:rsidRPr="0016727F">
        <w:rPr>
          <w:rFonts w:ascii="Calibri" w:hAnsi="Calibri" w:cs="Calibri"/>
          <w:color w:val="auto"/>
        </w:rPr>
        <w:t xml:space="preserve">, Chimera is the largest </w:t>
      </w:r>
      <w:r w:rsidR="0016727F" w:rsidRPr="0016727F">
        <w:rPr>
          <w:rFonts w:ascii="Calibri" w:hAnsi="Calibri" w:cs="Calibri"/>
          <w:color w:val="auto"/>
        </w:rPr>
        <w:t>Venture Capital</w:t>
      </w:r>
      <w:r w:rsidR="00BE6268" w:rsidRPr="0016727F">
        <w:rPr>
          <w:rFonts w:ascii="Calibri" w:hAnsi="Calibri" w:cs="Calibri"/>
          <w:color w:val="auto"/>
        </w:rPr>
        <w:t xml:space="preserve"> asset manager in the MENA region. Additionally, Chimera also manages 10 ETFs making it the largest ETF issuer in the MENA region with capabilities to manage onshore and UCITS regulated ETFs. </w:t>
      </w:r>
      <w:r w:rsidRPr="0016727F">
        <w:rPr>
          <w:rFonts w:ascii="Calibri" w:hAnsi="Calibri" w:cs="Calibri"/>
          <w:color w:val="auto"/>
        </w:rPr>
        <w:t xml:space="preserve"> As of 31</w:t>
      </w:r>
      <w:r w:rsidRPr="0016727F">
        <w:rPr>
          <w:rFonts w:ascii="Calibri" w:hAnsi="Calibri" w:cs="Calibri"/>
          <w:color w:val="auto"/>
          <w:vertAlign w:val="superscript"/>
        </w:rPr>
        <w:t>st</w:t>
      </w:r>
      <w:r w:rsidRPr="0016727F">
        <w:rPr>
          <w:rFonts w:ascii="Calibri" w:hAnsi="Calibri" w:cs="Calibri"/>
          <w:color w:val="auto"/>
        </w:rPr>
        <w:t xml:space="preserve"> December 2022, Chimera manages more than </w:t>
      </w:r>
      <w:r w:rsidRPr="0016727F">
        <w:rPr>
          <w:rFonts w:ascii="Calibri" w:hAnsi="Calibri" w:cs="Calibri"/>
          <w:b/>
          <w:bCs/>
          <w:color w:val="auto"/>
        </w:rPr>
        <w:t>AED 48 billion</w:t>
      </w:r>
      <w:r w:rsidRPr="0016727F">
        <w:rPr>
          <w:rFonts w:ascii="Calibri" w:hAnsi="Calibri" w:cs="Calibri"/>
          <w:color w:val="auto"/>
        </w:rPr>
        <w:t xml:space="preserve"> of assets under management and owns significant stakes in GPs that have assets under management worth </w:t>
      </w:r>
      <w:r w:rsidRPr="0016727F">
        <w:rPr>
          <w:rFonts w:ascii="Calibri" w:hAnsi="Calibri" w:cs="Calibri"/>
          <w:b/>
          <w:bCs/>
          <w:color w:val="auto"/>
        </w:rPr>
        <w:t>AED 26 billion</w:t>
      </w:r>
      <w:r w:rsidRPr="0016727F">
        <w:rPr>
          <w:rFonts w:ascii="Calibri" w:hAnsi="Calibri" w:cs="Calibri"/>
          <w:color w:val="auto"/>
        </w:rPr>
        <w:t>.</w:t>
      </w:r>
    </w:p>
    <w:p w14:paraId="54905D94" w14:textId="77777777" w:rsidR="00902F6A" w:rsidRPr="0016727F" w:rsidRDefault="00902F6A" w:rsidP="00395E91">
      <w:pPr>
        <w:pStyle w:val="Default"/>
        <w:jc w:val="both"/>
        <w:rPr>
          <w:rFonts w:ascii="Calibri" w:hAnsi="Calibri" w:cs="Calibri"/>
          <w:color w:val="auto"/>
        </w:rPr>
      </w:pPr>
    </w:p>
    <w:p w14:paraId="456291AD" w14:textId="554A5D26" w:rsidR="00DA352B" w:rsidRPr="0016727F" w:rsidRDefault="00DA352B" w:rsidP="00DA352B">
      <w:pPr>
        <w:pStyle w:val="Default"/>
        <w:jc w:val="both"/>
        <w:rPr>
          <w:rFonts w:ascii="Calibri" w:hAnsi="Calibri" w:cs="Calibri"/>
          <w:color w:val="auto"/>
        </w:rPr>
      </w:pPr>
      <w:r w:rsidRPr="0016727F">
        <w:rPr>
          <w:rFonts w:ascii="Calibri" w:hAnsi="Calibri" w:cs="Calibri"/>
          <w:color w:val="auto"/>
        </w:rPr>
        <w:t>A business consolidation under common control is a combination in which all combining companies or businesses are ultimately controlled by the same parent company before and after the combination. Therefore, the transaction</w:t>
      </w:r>
      <w:r w:rsidR="00CB717A" w:rsidRPr="0016727F">
        <w:rPr>
          <w:rFonts w:ascii="Calibri" w:hAnsi="Calibri" w:cs="Calibri"/>
          <w:color w:val="auto"/>
        </w:rPr>
        <w:t xml:space="preserve"> of </w:t>
      </w:r>
      <w:r w:rsidRPr="0016727F">
        <w:rPr>
          <w:rFonts w:ascii="Calibri" w:hAnsi="Calibri" w:cs="Calibri"/>
          <w:color w:val="auto"/>
        </w:rPr>
        <w:t>Chimera Investment will continue to be ultimately controlled by the same parent company.</w:t>
      </w:r>
    </w:p>
    <w:p w14:paraId="228C327C" w14:textId="77777777" w:rsidR="005B0963" w:rsidRPr="0016727F" w:rsidRDefault="005B0963" w:rsidP="00395E91">
      <w:pPr>
        <w:pStyle w:val="Default"/>
        <w:jc w:val="both"/>
        <w:rPr>
          <w:rFonts w:ascii="Calibri" w:hAnsi="Calibri" w:cs="Calibri"/>
          <w:color w:val="auto"/>
        </w:rPr>
      </w:pPr>
    </w:p>
    <w:p w14:paraId="2EA9DDD7" w14:textId="4F0248B5" w:rsidR="00CB717A" w:rsidRPr="0016727F" w:rsidRDefault="005B0963" w:rsidP="00CB717A">
      <w:pPr>
        <w:pStyle w:val="Default"/>
        <w:jc w:val="both"/>
        <w:rPr>
          <w:rFonts w:ascii="Calibri" w:hAnsi="Calibri" w:cs="Calibri"/>
          <w:color w:val="auto"/>
        </w:rPr>
      </w:pPr>
      <w:r w:rsidRPr="0016727F">
        <w:rPr>
          <w:rFonts w:ascii="Calibri" w:hAnsi="Calibri" w:cs="Calibri"/>
          <w:color w:val="auto"/>
        </w:rPr>
        <w:lastRenderedPageBreak/>
        <w:t xml:space="preserve">The </w:t>
      </w:r>
      <w:r w:rsidR="00DA352B" w:rsidRPr="0016727F">
        <w:rPr>
          <w:rFonts w:ascii="Calibri" w:hAnsi="Calibri" w:cs="Calibri"/>
          <w:color w:val="auto"/>
        </w:rPr>
        <w:t xml:space="preserve"> </w:t>
      </w:r>
      <w:r w:rsidR="00CB717A" w:rsidRPr="0016727F">
        <w:rPr>
          <w:rFonts w:ascii="Calibri" w:hAnsi="Calibri" w:cs="Calibri"/>
          <w:color w:val="auto"/>
        </w:rPr>
        <w:t>move</w:t>
      </w:r>
      <w:r w:rsidR="006C5612" w:rsidRPr="0016727F">
        <w:rPr>
          <w:rFonts w:ascii="Calibri" w:hAnsi="Calibri" w:cs="Calibri"/>
          <w:color w:val="auto"/>
        </w:rPr>
        <w:t xml:space="preserve"> </w:t>
      </w:r>
      <w:r w:rsidRPr="0016727F">
        <w:rPr>
          <w:rFonts w:ascii="Calibri" w:hAnsi="Calibri" w:cs="Calibri"/>
          <w:color w:val="auto"/>
        </w:rPr>
        <w:t>aligns with IHC's local and international growth plan</w:t>
      </w:r>
      <w:r w:rsidR="006C5612" w:rsidRPr="0016727F">
        <w:rPr>
          <w:rFonts w:ascii="Calibri" w:hAnsi="Calibri" w:cs="Calibri"/>
          <w:color w:val="auto"/>
        </w:rPr>
        <w:t>s within the financial services and asset management space</w:t>
      </w:r>
      <w:r w:rsidR="00CB717A" w:rsidRPr="0016727F">
        <w:rPr>
          <w:rFonts w:ascii="Calibri" w:hAnsi="Calibri" w:cs="Calibri"/>
          <w:color w:val="auto"/>
        </w:rPr>
        <w:t xml:space="preserve"> and lays the foundation for the development of a regional champion. </w:t>
      </w:r>
    </w:p>
    <w:p w14:paraId="4C039E84" w14:textId="77777777" w:rsidR="00DA352B" w:rsidRPr="0016727F" w:rsidRDefault="00DA352B" w:rsidP="008D283E">
      <w:pPr>
        <w:pStyle w:val="Default"/>
        <w:jc w:val="both"/>
        <w:rPr>
          <w:rFonts w:ascii="Calibri" w:hAnsi="Calibri" w:cs="Calibri"/>
          <w:color w:val="auto"/>
          <w:lang w:val="en-US"/>
        </w:rPr>
      </w:pPr>
    </w:p>
    <w:p w14:paraId="20F9ADBB" w14:textId="10D9FFCA" w:rsidR="00915F3F" w:rsidRPr="0016727F" w:rsidRDefault="00B04A5E" w:rsidP="008132AB">
      <w:pPr>
        <w:pStyle w:val="NormalWeb"/>
        <w:shd w:val="clear" w:color="auto" w:fill="FFFFFF"/>
        <w:spacing w:beforeLines="60" w:before="144" w:beforeAutospacing="0" w:afterLines="60" w:after="144" w:afterAutospacing="0" w:line="360" w:lineRule="auto"/>
        <w:jc w:val="center"/>
        <w:rPr>
          <w:rFonts w:ascii="Calibri" w:hAnsi="Calibri" w:cs="Calibri"/>
          <w:b/>
          <w:bCs/>
        </w:rPr>
      </w:pPr>
      <w:r w:rsidRPr="0016727F">
        <w:rPr>
          <w:rFonts w:ascii="Calibri" w:hAnsi="Calibri" w:cs="Calibri"/>
          <w:b/>
          <w:bCs/>
        </w:rPr>
        <w:t>--Ends--</w:t>
      </w:r>
    </w:p>
    <w:p w14:paraId="73A9C2F0" w14:textId="77777777" w:rsidR="00CB717A" w:rsidRDefault="00CB717A" w:rsidP="0043337E">
      <w:pPr>
        <w:ind w:left="100"/>
        <w:jc w:val="both"/>
        <w:rPr>
          <w:b/>
          <w:bCs/>
          <w:spacing w:val="-4"/>
          <w:sz w:val="21"/>
        </w:rPr>
      </w:pPr>
    </w:p>
    <w:p w14:paraId="4D16330F" w14:textId="20E45BFD" w:rsidR="0043337E" w:rsidRPr="00752D09" w:rsidRDefault="0043337E" w:rsidP="0043337E">
      <w:pPr>
        <w:ind w:left="100"/>
        <w:jc w:val="both"/>
        <w:rPr>
          <w:b/>
          <w:bCs/>
          <w:sz w:val="21"/>
        </w:rPr>
      </w:pPr>
      <w:r w:rsidRPr="00752D09">
        <w:rPr>
          <w:b/>
          <w:bCs/>
          <w:spacing w:val="-4"/>
          <w:sz w:val="21"/>
        </w:rPr>
        <w:t>About International Holding</w:t>
      </w:r>
      <w:r w:rsidRPr="00752D09">
        <w:rPr>
          <w:b/>
          <w:bCs/>
          <w:spacing w:val="1"/>
          <w:sz w:val="21"/>
        </w:rPr>
        <w:t xml:space="preserve"> </w:t>
      </w:r>
      <w:r w:rsidRPr="00752D09">
        <w:rPr>
          <w:b/>
          <w:bCs/>
          <w:spacing w:val="-4"/>
          <w:sz w:val="21"/>
        </w:rPr>
        <w:t>Company</w:t>
      </w:r>
    </w:p>
    <w:p w14:paraId="2616D4C5" w14:textId="07851F20" w:rsidR="0043337E" w:rsidRPr="00752D09" w:rsidRDefault="0043337E" w:rsidP="0043337E">
      <w:pPr>
        <w:spacing w:before="38" w:line="278" w:lineRule="auto"/>
        <w:ind w:left="100" w:right="156"/>
        <w:jc w:val="both"/>
      </w:pPr>
      <w:r w:rsidRPr="00752D09">
        <w:rPr>
          <w:spacing w:val="-4"/>
        </w:rPr>
        <w:t>IHC</w:t>
      </w:r>
      <w:r w:rsidRPr="00752D09">
        <w:rPr>
          <w:spacing w:val="-10"/>
        </w:rPr>
        <w:t xml:space="preserve"> </w:t>
      </w:r>
      <w:r w:rsidRPr="00752D09">
        <w:rPr>
          <w:spacing w:val="-4"/>
        </w:rPr>
        <w:t>was</w:t>
      </w:r>
      <w:r w:rsidRPr="00752D09">
        <w:rPr>
          <w:spacing w:val="-10"/>
        </w:rPr>
        <w:t xml:space="preserve"> </w:t>
      </w:r>
      <w:r w:rsidRPr="00752D09">
        <w:rPr>
          <w:spacing w:val="-4"/>
        </w:rPr>
        <w:t>founded</w:t>
      </w:r>
      <w:r w:rsidRPr="00752D09">
        <w:rPr>
          <w:spacing w:val="-10"/>
        </w:rPr>
        <w:t xml:space="preserve"> </w:t>
      </w:r>
      <w:r w:rsidRPr="00752D09">
        <w:rPr>
          <w:spacing w:val="-4"/>
        </w:rPr>
        <w:t>in</w:t>
      </w:r>
      <w:r w:rsidRPr="00752D09">
        <w:rPr>
          <w:spacing w:val="-10"/>
        </w:rPr>
        <w:t xml:space="preserve"> </w:t>
      </w:r>
      <w:r w:rsidRPr="00752D09">
        <w:rPr>
          <w:spacing w:val="-4"/>
        </w:rPr>
        <w:t>1998</w:t>
      </w:r>
      <w:r w:rsidRPr="00752D09">
        <w:rPr>
          <w:spacing w:val="-10"/>
        </w:rPr>
        <w:t xml:space="preserve"> </w:t>
      </w:r>
      <w:r w:rsidRPr="00752D09">
        <w:rPr>
          <w:spacing w:val="-4"/>
        </w:rPr>
        <w:t>as</w:t>
      </w:r>
      <w:r w:rsidRPr="00752D09">
        <w:rPr>
          <w:spacing w:val="-10"/>
        </w:rPr>
        <w:t xml:space="preserve"> </w:t>
      </w:r>
      <w:r w:rsidRPr="00752D09">
        <w:rPr>
          <w:spacing w:val="-4"/>
        </w:rPr>
        <w:t>part</w:t>
      </w:r>
      <w:r w:rsidRPr="00752D09">
        <w:rPr>
          <w:spacing w:val="-10"/>
        </w:rPr>
        <w:t xml:space="preserve"> </w:t>
      </w:r>
      <w:r w:rsidRPr="00752D09">
        <w:rPr>
          <w:spacing w:val="-4"/>
        </w:rPr>
        <w:t>of</w:t>
      </w:r>
      <w:r w:rsidRPr="00752D09">
        <w:rPr>
          <w:spacing w:val="-10"/>
        </w:rPr>
        <w:t xml:space="preserve"> </w:t>
      </w:r>
      <w:r w:rsidRPr="00752D09">
        <w:rPr>
          <w:spacing w:val="-4"/>
        </w:rPr>
        <w:t>an</w:t>
      </w:r>
      <w:r w:rsidRPr="00752D09">
        <w:rPr>
          <w:spacing w:val="-10"/>
        </w:rPr>
        <w:t xml:space="preserve"> </w:t>
      </w:r>
      <w:r w:rsidRPr="00752D09">
        <w:rPr>
          <w:spacing w:val="-4"/>
        </w:rPr>
        <w:t>initiative</w:t>
      </w:r>
      <w:r w:rsidRPr="00752D09">
        <w:rPr>
          <w:spacing w:val="-9"/>
        </w:rPr>
        <w:t xml:space="preserve"> </w:t>
      </w:r>
      <w:r w:rsidRPr="00752D09">
        <w:rPr>
          <w:spacing w:val="-4"/>
        </w:rPr>
        <w:t>to</w:t>
      </w:r>
      <w:r w:rsidRPr="00752D09">
        <w:rPr>
          <w:spacing w:val="-10"/>
        </w:rPr>
        <w:t xml:space="preserve"> </w:t>
      </w:r>
      <w:r w:rsidRPr="00752D09">
        <w:rPr>
          <w:spacing w:val="-4"/>
        </w:rPr>
        <w:t>diversify</w:t>
      </w:r>
      <w:r w:rsidRPr="00752D09">
        <w:rPr>
          <w:spacing w:val="-10"/>
        </w:rPr>
        <w:t xml:space="preserve"> </w:t>
      </w:r>
      <w:r w:rsidRPr="00752D09">
        <w:rPr>
          <w:spacing w:val="-4"/>
        </w:rPr>
        <w:t>and</w:t>
      </w:r>
      <w:r w:rsidRPr="00752D09">
        <w:rPr>
          <w:spacing w:val="-10"/>
        </w:rPr>
        <w:t xml:space="preserve"> </w:t>
      </w:r>
      <w:r w:rsidRPr="00752D09">
        <w:rPr>
          <w:spacing w:val="-4"/>
        </w:rPr>
        <w:t>develop</w:t>
      </w:r>
      <w:r w:rsidRPr="00752D09">
        <w:rPr>
          <w:spacing w:val="-10"/>
        </w:rPr>
        <w:t xml:space="preserve"> </w:t>
      </w:r>
      <w:r w:rsidRPr="00752D09">
        <w:rPr>
          <w:spacing w:val="-4"/>
        </w:rPr>
        <w:t>non-oil</w:t>
      </w:r>
      <w:r w:rsidRPr="00752D09">
        <w:rPr>
          <w:spacing w:val="-10"/>
        </w:rPr>
        <w:t xml:space="preserve"> </w:t>
      </w:r>
      <w:r w:rsidRPr="00752D09">
        <w:rPr>
          <w:spacing w:val="-4"/>
        </w:rPr>
        <w:t>business</w:t>
      </w:r>
      <w:r w:rsidRPr="00752D09">
        <w:rPr>
          <w:spacing w:val="-10"/>
        </w:rPr>
        <w:t xml:space="preserve"> </w:t>
      </w:r>
      <w:r w:rsidRPr="00752D09">
        <w:rPr>
          <w:spacing w:val="-4"/>
        </w:rPr>
        <w:t>sectors</w:t>
      </w:r>
      <w:r w:rsidRPr="00752D09">
        <w:rPr>
          <w:spacing w:val="-10"/>
        </w:rPr>
        <w:t xml:space="preserve"> </w:t>
      </w:r>
      <w:r w:rsidRPr="00752D09">
        <w:rPr>
          <w:spacing w:val="-4"/>
        </w:rPr>
        <w:t>in</w:t>
      </w:r>
      <w:r w:rsidRPr="00752D09">
        <w:rPr>
          <w:spacing w:val="-10"/>
        </w:rPr>
        <w:t xml:space="preserve"> </w:t>
      </w:r>
      <w:r w:rsidRPr="00752D09">
        <w:rPr>
          <w:spacing w:val="-4"/>
        </w:rPr>
        <w:t>the</w:t>
      </w:r>
      <w:r w:rsidRPr="00752D09">
        <w:rPr>
          <w:spacing w:val="-9"/>
        </w:rPr>
        <w:t xml:space="preserve"> </w:t>
      </w:r>
      <w:r w:rsidRPr="00752D09">
        <w:rPr>
          <w:spacing w:val="-4"/>
        </w:rPr>
        <w:t>UAE and</w:t>
      </w:r>
      <w:r w:rsidRPr="00752D09">
        <w:rPr>
          <w:spacing w:val="-10"/>
        </w:rPr>
        <w:t xml:space="preserve"> </w:t>
      </w:r>
      <w:r w:rsidRPr="00752D09">
        <w:rPr>
          <w:spacing w:val="-4"/>
        </w:rPr>
        <w:t>has</w:t>
      </w:r>
      <w:r w:rsidRPr="00752D09">
        <w:rPr>
          <w:spacing w:val="-8"/>
        </w:rPr>
        <w:t xml:space="preserve"> </w:t>
      </w:r>
      <w:r w:rsidRPr="00752D09">
        <w:rPr>
          <w:spacing w:val="-4"/>
        </w:rPr>
        <w:t>grown</w:t>
      </w:r>
      <w:r w:rsidRPr="00752D09">
        <w:rPr>
          <w:spacing w:val="-10"/>
        </w:rPr>
        <w:t xml:space="preserve"> </w:t>
      </w:r>
      <w:r w:rsidRPr="00752D09">
        <w:rPr>
          <w:spacing w:val="-4"/>
        </w:rPr>
        <w:t>to</w:t>
      </w:r>
      <w:r w:rsidRPr="00752D09">
        <w:rPr>
          <w:spacing w:val="-9"/>
        </w:rPr>
        <w:t xml:space="preserve"> </w:t>
      </w:r>
      <w:r w:rsidRPr="00752D09">
        <w:rPr>
          <w:spacing w:val="-4"/>
        </w:rPr>
        <w:t>become</w:t>
      </w:r>
      <w:r w:rsidRPr="00752D09">
        <w:rPr>
          <w:spacing w:val="-9"/>
        </w:rPr>
        <w:t xml:space="preserve"> </w:t>
      </w:r>
      <w:r w:rsidRPr="00752D09">
        <w:rPr>
          <w:spacing w:val="-4"/>
        </w:rPr>
        <w:t>the</w:t>
      </w:r>
      <w:r w:rsidRPr="00752D09">
        <w:rPr>
          <w:spacing w:val="-10"/>
        </w:rPr>
        <w:t xml:space="preserve"> </w:t>
      </w:r>
      <w:r w:rsidRPr="00752D09">
        <w:rPr>
          <w:spacing w:val="-4"/>
        </w:rPr>
        <w:t>most</w:t>
      </w:r>
      <w:r w:rsidRPr="00752D09">
        <w:rPr>
          <w:spacing w:val="-9"/>
        </w:rPr>
        <w:t xml:space="preserve"> </w:t>
      </w:r>
      <w:r w:rsidRPr="00752D09">
        <w:rPr>
          <w:spacing w:val="-4"/>
        </w:rPr>
        <w:t>valuable</w:t>
      </w:r>
      <w:r w:rsidRPr="00752D09">
        <w:rPr>
          <w:spacing w:val="-9"/>
        </w:rPr>
        <w:t xml:space="preserve"> </w:t>
      </w:r>
      <w:r w:rsidRPr="00752D09">
        <w:rPr>
          <w:spacing w:val="-4"/>
        </w:rPr>
        <w:t>listed</w:t>
      </w:r>
      <w:r w:rsidRPr="00752D09">
        <w:rPr>
          <w:spacing w:val="-10"/>
        </w:rPr>
        <w:t xml:space="preserve"> </w:t>
      </w:r>
      <w:r w:rsidRPr="00752D09">
        <w:rPr>
          <w:spacing w:val="-4"/>
        </w:rPr>
        <w:t>holding</w:t>
      </w:r>
      <w:r w:rsidRPr="00752D09">
        <w:rPr>
          <w:spacing w:val="-10"/>
        </w:rPr>
        <w:t xml:space="preserve"> </w:t>
      </w:r>
      <w:r w:rsidRPr="00752D09">
        <w:rPr>
          <w:spacing w:val="-4"/>
        </w:rPr>
        <w:t>company</w:t>
      </w:r>
      <w:r w:rsidRPr="00752D09">
        <w:rPr>
          <w:spacing w:val="-9"/>
        </w:rPr>
        <w:t xml:space="preserve"> </w:t>
      </w:r>
      <w:r w:rsidRPr="00752D09">
        <w:rPr>
          <w:spacing w:val="-4"/>
        </w:rPr>
        <w:t>in</w:t>
      </w:r>
      <w:r w:rsidRPr="00752D09">
        <w:rPr>
          <w:spacing w:val="-10"/>
        </w:rPr>
        <w:t xml:space="preserve"> </w:t>
      </w:r>
      <w:r w:rsidRPr="00752D09">
        <w:rPr>
          <w:spacing w:val="-4"/>
        </w:rPr>
        <w:t>the</w:t>
      </w:r>
      <w:r w:rsidRPr="00752D09">
        <w:rPr>
          <w:spacing w:val="-9"/>
        </w:rPr>
        <w:t xml:space="preserve"> </w:t>
      </w:r>
      <w:r w:rsidRPr="00752D09">
        <w:rPr>
          <w:spacing w:val="-4"/>
        </w:rPr>
        <w:t>Middle</w:t>
      </w:r>
      <w:r w:rsidRPr="00752D09">
        <w:rPr>
          <w:spacing w:val="-10"/>
        </w:rPr>
        <w:t xml:space="preserve"> </w:t>
      </w:r>
      <w:r w:rsidRPr="00752D09">
        <w:rPr>
          <w:spacing w:val="-4"/>
        </w:rPr>
        <w:t>East</w:t>
      </w:r>
      <w:r w:rsidRPr="00752D09">
        <w:rPr>
          <w:spacing w:val="-9"/>
        </w:rPr>
        <w:t xml:space="preserve"> </w:t>
      </w:r>
      <w:r w:rsidRPr="00752D09">
        <w:rPr>
          <w:spacing w:val="-4"/>
        </w:rPr>
        <w:t>with</w:t>
      </w:r>
      <w:r w:rsidRPr="00752D09">
        <w:rPr>
          <w:spacing w:val="-10"/>
        </w:rPr>
        <w:t xml:space="preserve"> </w:t>
      </w:r>
      <w:r w:rsidRPr="00752D09">
        <w:rPr>
          <w:spacing w:val="-4"/>
        </w:rPr>
        <w:t>a</w:t>
      </w:r>
      <w:r w:rsidRPr="00752D09">
        <w:rPr>
          <w:spacing w:val="-8"/>
        </w:rPr>
        <w:t xml:space="preserve"> </w:t>
      </w:r>
      <w:r w:rsidRPr="00752D09">
        <w:rPr>
          <w:spacing w:val="-4"/>
        </w:rPr>
        <w:t>market</w:t>
      </w:r>
      <w:r w:rsidRPr="00752D09">
        <w:rPr>
          <w:spacing w:val="-9"/>
        </w:rPr>
        <w:t xml:space="preserve"> </w:t>
      </w:r>
      <w:r w:rsidRPr="00752D09">
        <w:rPr>
          <w:spacing w:val="-4"/>
        </w:rPr>
        <w:t>cap</w:t>
      </w:r>
      <w:r w:rsidRPr="00752D09">
        <w:rPr>
          <w:spacing w:val="-10"/>
        </w:rPr>
        <w:t xml:space="preserve"> </w:t>
      </w:r>
      <w:r w:rsidRPr="00752D09">
        <w:rPr>
          <w:spacing w:val="-4"/>
        </w:rPr>
        <w:t xml:space="preserve">of </w:t>
      </w:r>
      <w:r w:rsidRPr="00752D09">
        <w:rPr>
          <w:b/>
          <w:bCs/>
          <w:spacing w:val="-2"/>
        </w:rPr>
        <w:t>AED</w:t>
      </w:r>
      <w:r w:rsidRPr="00752D09">
        <w:rPr>
          <w:b/>
          <w:bCs/>
          <w:spacing w:val="-9"/>
        </w:rPr>
        <w:t xml:space="preserve"> </w:t>
      </w:r>
      <w:r w:rsidR="00FB1F2B" w:rsidRPr="00752D09">
        <w:rPr>
          <w:b/>
          <w:bCs/>
          <w:spacing w:val="-2"/>
        </w:rPr>
        <w:t xml:space="preserve">899 </w:t>
      </w:r>
      <w:r w:rsidRPr="00752D09">
        <w:rPr>
          <w:b/>
          <w:bCs/>
          <w:spacing w:val="-5"/>
        </w:rPr>
        <w:t xml:space="preserve"> </w:t>
      </w:r>
      <w:r w:rsidRPr="00752D09">
        <w:rPr>
          <w:b/>
          <w:bCs/>
          <w:spacing w:val="-2"/>
        </w:rPr>
        <w:t>billion</w:t>
      </w:r>
      <w:r w:rsidRPr="00752D09">
        <w:rPr>
          <w:spacing w:val="-7"/>
        </w:rPr>
        <w:t xml:space="preserve"> </w:t>
      </w:r>
      <w:r w:rsidRPr="00752D09">
        <w:rPr>
          <w:spacing w:val="-2"/>
        </w:rPr>
        <w:t>as</w:t>
      </w:r>
      <w:r w:rsidRPr="00752D09">
        <w:rPr>
          <w:spacing w:val="-8"/>
        </w:rPr>
        <w:t xml:space="preserve"> </w:t>
      </w:r>
      <w:r w:rsidRPr="00752D09">
        <w:rPr>
          <w:spacing w:val="-2"/>
        </w:rPr>
        <w:t>of</w:t>
      </w:r>
      <w:r w:rsidRPr="00752D09">
        <w:rPr>
          <w:spacing w:val="-9"/>
        </w:rPr>
        <w:t xml:space="preserve"> </w:t>
      </w:r>
      <w:r w:rsidRPr="00752D09">
        <w:rPr>
          <w:b/>
          <w:bCs/>
          <w:spacing w:val="-2"/>
        </w:rPr>
        <w:t>Dec</w:t>
      </w:r>
      <w:r w:rsidRPr="00752D09">
        <w:rPr>
          <w:b/>
          <w:bCs/>
          <w:spacing w:val="-10"/>
        </w:rPr>
        <w:t xml:space="preserve"> </w:t>
      </w:r>
      <w:r w:rsidRPr="00752D09">
        <w:rPr>
          <w:b/>
          <w:bCs/>
          <w:spacing w:val="-2"/>
        </w:rPr>
        <w:t>31,</w:t>
      </w:r>
      <w:r w:rsidRPr="00752D09">
        <w:rPr>
          <w:b/>
          <w:bCs/>
          <w:spacing w:val="-9"/>
        </w:rPr>
        <w:t xml:space="preserve"> </w:t>
      </w:r>
      <w:r w:rsidRPr="00752D09">
        <w:rPr>
          <w:b/>
          <w:bCs/>
          <w:spacing w:val="-2"/>
        </w:rPr>
        <w:t>2022</w:t>
      </w:r>
      <w:r w:rsidRPr="00752D09">
        <w:rPr>
          <w:spacing w:val="-2"/>
        </w:rPr>
        <w:t>.</w:t>
      </w:r>
      <w:r w:rsidRPr="00752D09">
        <w:rPr>
          <w:spacing w:val="-5"/>
        </w:rPr>
        <w:t xml:space="preserve"> </w:t>
      </w:r>
      <w:r w:rsidRPr="00752D09">
        <w:rPr>
          <w:spacing w:val="-2"/>
        </w:rPr>
        <w:t>The</w:t>
      </w:r>
      <w:r w:rsidRPr="00752D09">
        <w:rPr>
          <w:spacing w:val="-10"/>
        </w:rPr>
        <w:t xml:space="preserve"> </w:t>
      </w:r>
      <w:r w:rsidRPr="00752D09">
        <w:rPr>
          <w:spacing w:val="-2"/>
        </w:rPr>
        <w:t>company</w:t>
      </w:r>
      <w:r w:rsidRPr="00752D09">
        <w:rPr>
          <w:spacing w:val="-10"/>
        </w:rPr>
        <w:t xml:space="preserve"> </w:t>
      </w:r>
      <w:r w:rsidRPr="00752D09">
        <w:rPr>
          <w:spacing w:val="-2"/>
        </w:rPr>
        <w:t>endeavors</w:t>
      </w:r>
      <w:r w:rsidRPr="00752D09">
        <w:rPr>
          <w:spacing w:val="-8"/>
        </w:rPr>
        <w:t xml:space="preserve"> </w:t>
      </w:r>
      <w:r w:rsidRPr="00752D09">
        <w:rPr>
          <w:spacing w:val="-2"/>
        </w:rPr>
        <w:t>to</w:t>
      </w:r>
      <w:r w:rsidRPr="00752D09">
        <w:rPr>
          <w:spacing w:val="-10"/>
        </w:rPr>
        <w:t xml:space="preserve"> </w:t>
      </w:r>
      <w:r w:rsidRPr="00752D09">
        <w:rPr>
          <w:spacing w:val="-2"/>
        </w:rPr>
        <w:t>implement</w:t>
      </w:r>
      <w:r w:rsidRPr="00752D09">
        <w:rPr>
          <w:spacing w:val="-9"/>
        </w:rPr>
        <w:t xml:space="preserve"> </w:t>
      </w:r>
      <w:r w:rsidRPr="00752D09">
        <w:rPr>
          <w:spacing w:val="-2"/>
        </w:rPr>
        <w:t>sustainability,</w:t>
      </w:r>
      <w:r w:rsidRPr="00752D09">
        <w:rPr>
          <w:spacing w:val="-6"/>
        </w:rPr>
        <w:t xml:space="preserve"> </w:t>
      </w:r>
      <w:r w:rsidRPr="00752D09">
        <w:rPr>
          <w:spacing w:val="-2"/>
        </w:rPr>
        <w:t>innovation,</w:t>
      </w:r>
      <w:r w:rsidRPr="00752D09">
        <w:rPr>
          <w:spacing w:val="-9"/>
        </w:rPr>
        <w:t xml:space="preserve"> </w:t>
      </w:r>
      <w:r w:rsidRPr="00752D09">
        <w:rPr>
          <w:spacing w:val="-2"/>
        </w:rPr>
        <w:t xml:space="preserve">and </w:t>
      </w:r>
      <w:r w:rsidRPr="00752D09">
        <w:t>economic</w:t>
      </w:r>
      <w:r w:rsidRPr="00752D09">
        <w:rPr>
          <w:spacing w:val="-10"/>
        </w:rPr>
        <w:t xml:space="preserve"> </w:t>
      </w:r>
      <w:r w:rsidRPr="00752D09">
        <w:t>diversification</w:t>
      </w:r>
      <w:r w:rsidRPr="00752D09">
        <w:rPr>
          <w:spacing w:val="-11"/>
        </w:rPr>
        <w:t xml:space="preserve"> </w:t>
      </w:r>
      <w:r w:rsidRPr="00752D09">
        <w:t>initiatives</w:t>
      </w:r>
      <w:r w:rsidRPr="00752D09">
        <w:rPr>
          <w:spacing w:val="-9"/>
        </w:rPr>
        <w:t xml:space="preserve"> </w:t>
      </w:r>
      <w:r w:rsidRPr="00752D09">
        <w:t>across</w:t>
      </w:r>
      <w:r w:rsidRPr="00752D09">
        <w:rPr>
          <w:spacing w:val="-9"/>
        </w:rPr>
        <w:t xml:space="preserve"> </w:t>
      </w:r>
      <w:r w:rsidRPr="00752D09">
        <w:t>what</w:t>
      </w:r>
      <w:r w:rsidRPr="00752D09">
        <w:rPr>
          <w:spacing w:val="-10"/>
        </w:rPr>
        <w:t xml:space="preserve"> </w:t>
      </w:r>
      <w:r w:rsidRPr="00752D09">
        <w:t>is</w:t>
      </w:r>
      <w:r w:rsidRPr="00752D09">
        <w:rPr>
          <w:spacing w:val="-9"/>
        </w:rPr>
        <w:t xml:space="preserve"> </w:t>
      </w:r>
      <w:r w:rsidRPr="00752D09">
        <w:t>now</w:t>
      </w:r>
      <w:r w:rsidRPr="00752D09">
        <w:rPr>
          <w:spacing w:val="-10"/>
        </w:rPr>
        <w:t xml:space="preserve"> </w:t>
      </w:r>
      <w:r w:rsidRPr="00752D09">
        <w:t>one</w:t>
      </w:r>
      <w:r w:rsidRPr="00752D09">
        <w:rPr>
          <w:spacing w:val="-8"/>
        </w:rPr>
        <w:t xml:space="preserve"> </w:t>
      </w:r>
      <w:r w:rsidRPr="00752D09">
        <w:t>of</w:t>
      </w:r>
      <w:r w:rsidRPr="00752D09">
        <w:rPr>
          <w:spacing w:val="-10"/>
        </w:rPr>
        <w:t xml:space="preserve"> </w:t>
      </w:r>
      <w:r w:rsidRPr="00752D09">
        <w:t>the</w:t>
      </w:r>
      <w:r w:rsidRPr="00752D09">
        <w:rPr>
          <w:spacing w:val="-11"/>
        </w:rPr>
        <w:t xml:space="preserve"> </w:t>
      </w:r>
      <w:r w:rsidRPr="00752D09">
        <w:t>region's</w:t>
      </w:r>
      <w:r w:rsidRPr="00752D09">
        <w:rPr>
          <w:spacing w:val="-9"/>
        </w:rPr>
        <w:t xml:space="preserve"> </w:t>
      </w:r>
      <w:r w:rsidRPr="00752D09">
        <w:t>largest</w:t>
      </w:r>
      <w:r w:rsidRPr="00752D09">
        <w:rPr>
          <w:spacing w:val="-10"/>
        </w:rPr>
        <w:t xml:space="preserve"> </w:t>
      </w:r>
      <w:r w:rsidRPr="00752D09">
        <w:t>conglomerates.</w:t>
      </w:r>
      <w:r w:rsidRPr="00752D09">
        <w:rPr>
          <w:spacing w:val="-10"/>
        </w:rPr>
        <w:t xml:space="preserve"> </w:t>
      </w:r>
      <w:r w:rsidRPr="00752D09">
        <w:t>IHC</w:t>
      </w:r>
      <w:r w:rsidRPr="00752D09">
        <w:rPr>
          <w:spacing w:val="-10"/>
        </w:rPr>
        <w:t xml:space="preserve"> </w:t>
      </w:r>
      <w:r w:rsidRPr="00752D09">
        <w:t xml:space="preserve">is </w:t>
      </w:r>
      <w:r w:rsidRPr="00752D09">
        <w:rPr>
          <w:spacing w:val="-6"/>
        </w:rPr>
        <w:t>included</w:t>
      </w:r>
      <w:r w:rsidRPr="00752D09">
        <w:rPr>
          <w:spacing w:val="-8"/>
        </w:rPr>
        <w:t xml:space="preserve"> </w:t>
      </w:r>
      <w:r w:rsidRPr="00752D09">
        <w:rPr>
          <w:spacing w:val="-6"/>
        </w:rPr>
        <w:t>in</w:t>
      </w:r>
      <w:r w:rsidRPr="00752D09">
        <w:rPr>
          <w:spacing w:val="-8"/>
        </w:rPr>
        <w:t xml:space="preserve"> </w:t>
      </w:r>
      <w:r w:rsidRPr="00752D09">
        <w:rPr>
          <w:spacing w:val="-6"/>
        </w:rPr>
        <w:t>FTSE</w:t>
      </w:r>
      <w:r w:rsidRPr="00752D09">
        <w:rPr>
          <w:spacing w:val="-8"/>
        </w:rPr>
        <w:t xml:space="preserve"> </w:t>
      </w:r>
      <w:r w:rsidRPr="00752D09">
        <w:rPr>
          <w:spacing w:val="-6"/>
        </w:rPr>
        <w:t>ADX</w:t>
      </w:r>
      <w:r w:rsidRPr="00752D09">
        <w:rPr>
          <w:spacing w:val="-8"/>
        </w:rPr>
        <w:t xml:space="preserve"> </w:t>
      </w:r>
      <w:r w:rsidRPr="00752D09">
        <w:rPr>
          <w:spacing w:val="-6"/>
        </w:rPr>
        <w:t>15</w:t>
      </w:r>
      <w:r w:rsidRPr="00752D09">
        <w:rPr>
          <w:spacing w:val="-8"/>
        </w:rPr>
        <w:t xml:space="preserve"> </w:t>
      </w:r>
      <w:r w:rsidRPr="00752D09">
        <w:rPr>
          <w:spacing w:val="-6"/>
        </w:rPr>
        <w:t>Index</w:t>
      </w:r>
      <w:r w:rsidRPr="00752D09">
        <w:rPr>
          <w:spacing w:val="-8"/>
        </w:rPr>
        <w:t xml:space="preserve"> </w:t>
      </w:r>
      <w:r w:rsidRPr="00752D09">
        <w:rPr>
          <w:spacing w:val="-6"/>
        </w:rPr>
        <w:t>(FADX</w:t>
      </w:r>
      <w:r w:rsidRPr="00752D09">
        <w:rPr>
          <w:spacing w:val="-8"/>
        </w:rPr>
        <w:t xml:space="preserve"> </w:t>
      </w:r>
      <w:r w:rsidRPr="00752D09">
        <w:rPr>
          <w:spacing w:val="-6"/>
        </w:rPr>
        <w:t>15),</w:t>
      </w:r>
      <w:r w:rsidRPr="00752D09">
        <w:rPr>
          <w:spacing w:val="-8"/>
        </w:rPr>
        <w:t xml:space="preserve"> </w:t>
      </w:r>
      <w:r w:rsidRPr="00752D09">
        <w:rPr>
          <w:spacing w:val="-6"/>
        </w:rPr>
        <w:t>representing</w:t>
      </w:r>
      <w:r w:rsidRPr="00752D09">
        <w:rPr>
          <w:spacing w:val="-8"/>
        </w:rPr>
        <w:t xml:space="preserve"> </w:t>
      </w:r>
      <w:r w:rsidRPr="00752D09">
        <w:rPr>
          <w:spacing w:val="-6"/>
        </w:rPr>
        <w:t>the</w:t>
      </w:r>
      <w:r w:rsidRPr="00752D09">
        <w:rPr>
          <w:spacing w:val="-7"/>
        </w:rPr>
        <w:t xml:space="preserve"> </w:t>
      </w:r>
      <w:r w:rsidRPr="00752D09">
        <w:rPr>
          <w:spacing w:val="-6"/>
        </w:rPr>
        <w:t>top</w:t>
      </w:r>
      <w:r w:rsidRPr="00752D09">
        <w:rPr>
          <w:spacing w:val="-8"/>
        </w:rPr>
        <w:t xml:space="preserve"> </w:t>
      </w:r>
      <w:r w:rsidRPr="00752D09">
        <w:rPr>
          <w:spacing w:val="-6"/>
        </w:rPr>
        <w:t>15</w:t>
      </w:r>
      <w:r w:rsidRPr="00752D09">
        <w:rPr>
          <w:spacing w:val="-8"/>
        </w:rPr>
        <w:t xml:space="preserve"> </w:t>
      </w:r>
      <w:r w:rsidRPr="00752D09">
        <w:rPr>
          <w:spacing w:val="-6"/>
        </w:rPr>
        <w:t>largest</w:t>
      </w:r>
      <w:r w:rsidRPr="00752D09">
        <w:rPr>
          <w:spacing w:val="-8"/>
        </w:rPr>
        <w:t xml:space="preserve"> </w:t>
      </w:r>
      <w:r w:rsidRPr="00752D09">
        <w:rPr>
          <w:spacing w:val="-6"/>
        </w:rPr>
        <w:t>and</w:t>
      </w:r>
      <w:r w:rsidRPr="00752D09">
        <w:rPr>
          <w:spacing w:val="-8"/>
        </w:rPr>
        <w:t xml:space="preserve"> </w:t>
      </w:r>
      <w:r w:rsidRPr="00752D09">
        <w:rPr>
          <w:spacing w:val="-6"/>
        </w:rPr>
        <w:t>most</w:t>
      </w:r>
      <w:r w:rsidRPr="00752D09">
        <w:rPr>
          <w:spacing w:val="-8"/>
        </w:rPr>
        <w:t xml:space="preserve"> </w:t>
      </w:r>
      <w:r w:rsidRPr="00752D09">
        <w:rPr>
          <w:spacing w:val="-6"/>
        </w:rPr>
        <w:t>liquid</w:t>
      </w:r>
      <w:r w:rsidRPr="00752D09">
        <w:rPr>
          <w:spacing w:val="-8"/>
        </w:rPr>
        <w:t xml:space="preserve"> </w:t>
      </w:r>
      <w:r w:rsidRPr="00752D09">
        <w:rPr>
          <w:spacing w:val="-6"/>
        </w:rPr>
        <w:t>companies</w:t>
      </w:r>
      <w:r w:rsidRPr="00752D09">
        <w:rPr>
          <w:spacing w:val="-8"/>
        </w:rPr>
        <w:t xml:space="preserve"> </w:t>
      </w:r>
      <w:r w:rsidRPr="00752D09">
        <w:rPr>
          <w:spacing w:val="-6"/>
        </w:rPr>
        <w:t>on</w:t>
      </w:r>
      <w:r w:rsidRPr="00752D09">
        <w:rPr>
          <w:spacing w:val="-8"/>
        </w:rPr>
        <w:t xml:space="preserve"> </w:t>
      </w:r>
      <w:r w:rsidRPr="00752D09">
        <w:rPr>
          <w:spacing w:val="-6"/>
        </w:rPr>
        <w:t xml:space="preserve">the </w:t>
      </w:r>
      <w:r w:rsidRPr="00752D09">
        <w:rPr>
          <w:spacing w:val="-4"/>
        </w:rPr>
        <w:t>ADX.</w:t>
      </w:r>
    </w:p>
    <w:p w14:paraId="54ED523F" w14:textId="748252FA" w:rsidR="0043337E" w:rsidRDefault="0043337E" w:rsidP="0043337E">
      <w:pPr>
        <w:spacing w:before="1" w:line="276" w:lineRule="auto"/>
        <w:ind w:left="100" w:right="154"/>
        <w:jc w:val="both"/>
      </w:pPr>
      <w:r w:rsidRPr="00752D09">
        <w:rPr>
          <w:spacing w:val="-6"/>
        </w:rPr>
        <w:t>IHC has a clear objective of</w:t>
      </w:r>
      <w:r w:rsidRPr="00752D09">
        <w:t xml:space="preserve"> </w:t>
      </w:r>
      <w:r w:rsidRPr="00752D09">
        <w:rPr>
          <w:spacing w:val="-6"/>
        </w:rPr>
        <w:t>enhancing its portfolio through</w:t>
      </w:r>
      <w:r w:rsidRPr="00752D09">
        <w:t xml:space="preserve"> </w:t>
      </w:r>
      <w:r w:rsidRPr="00752D09">
        <w:rPr>
          <w:spacing w:val="-6"/>
        </w:rPr>
        <w:t xml:space="preserve">acquisitions, strategic investments, and business </w:t>
      </w:r>
      <w:r w:rsidRPr="00752D09">
        <w:t>combinations.</w:t>
      </w:r>
      <w:r w:rsidRPr="00752D09">
        <w:rPr>
          <w:spacing w:val="-14"/>
        </w:rPr>
        <w:t xml:space="preserve"> </w:t>
      </w:r>
      <w:r w:rsidRPr="00752D09">
        <w:t>Comprising</w:t>
      </w:r>
      <w:r w:rsidRPr="00752D09">
        <w:rPr>
          <w:spacing w:val="-14"/>
        </w:rPr>
        <w:t xml:space="preserve"> </w:t>
      </w:r>
      <w:r w:rsidRPr="00752D09">
        <w:t>more</w:t>
      </w:r>
      <w:r w:rsidRPr="00752D09">
        <w:rPr>
          <w:spacing w:val="-14"/>
        </w:rPr>
        <w:t xml:space="preserve"> </w:t>
      </w:r>
      <w:r w:rsidRPr="00752D09">
        <w:t>than</w:t>
      </w:r>
      <w:r w:rsidRPr="00752D09">
        <w:rPr>
          <w:spacing w:val="-14"/>
        </w:rPr>
        <w:t xml:space="preserve"> </w:t>
      </w:r>
      <w:r w:rsidRPr="00752D09">
        <w:rPr>
          <w:b/>
          <w:bCs/>
        </w:rPr>
        <w:t>482</w:t>
      </w:r>
      <w:r w:rsidRPr="00752D09">
        <w:rPr>
          <w:spacing w:val="-14"/>
        </w:rPr>
        <w:t xml:space="preserve"> </w:t>
      </w:r>
      <w:r w:rsidRPr="00752D09">
        <w:t>subsidiaries</w:t>
      </w:r>
      <w:r w:rsidRPr="00752D09">
        <w:rPr>
          <w:spacing w:val="-14"/>
        </w:rPr>
        <w:t xml:space="preserve"> </w:t>
      </w:r>
      <w:r w:rsidRPr="00752D09">
        <w:t>and</w:t>
      </w:r>
      <w:r w:rsidRPr="00752D09">
        <w:rPr>
          <w:spacing w:val="-14"/>
        </w:rPr>
        <w:t xml:space="preserve"> </w:t>
      </w:r>
      <w:r w:rsidR="00FB1F2B" w:rsidRPr="00752D09">
        <w:rPr>
          <w:b/>
          <w:bCs/>
        </w:rPr>
        <w:t>125,732</w:t>
      </w:r>
      <w:r w:rsidRPr="00752D09">
        <w:rPr>
          <w:spacing w:val="-14"/>
        </w:rPr>
        <w:t xml:space="preserve"> </w:t>
      </w:r>
      <w:r w:rsidRPr="00752D09">
        <w:t>employees,</w:t>
      </w:r>
      <w:r w:rsidRPr="00752D09">
        <w:rPr>
          <w:spacing w:val="-14"/>
        </w:rPr>
        <w:t xml:space="preserve"> </w:t>
      </w:r>
      <w:r w:rsidRPr="00752D09">
        <w:t>IHC</w:t>
      </w:r>
      <w:r w:rsidRPr="00752D09">
        <w:rPr>
          <w:spacing w:val="-13"/>
        </w:rPr>
        <w:t xml:space="preserve"> </w:t>
      </w:r>
      <w:r w:rsidRPr="00752D09">
        <w:t>seeks</w:t>
      </w:r>
      <w:r w:rsidRPr="00752D09">
        <w:rPr>
          <w:spacing w:val="-14"/>
        </w:rPr>
        <w:t xml:space="preserve"> </w:t>
      </w:r>
      <w:r w:rsidRPr="00752D09">
        <w:t>to</w:t>
      </w:r>
      <w:r w:rsidRPr="00752D09">
        <w:rPr>
          <w:spacing w:val="-14"/>
        </w:rPr>
        <w:t xml:space="preserve"> </w:t>
      </w:r>
      <w:r w:rsidRPr="00752D09">
        <w:t>expand</w:t>
      </w:r>
      <w:r w:rsidRPr="00752D09">
        <w:rPr>
          <w:spacing w:val="-14"/>
        </w:rPr>
        <w:t xml:space="preserve"> </w:t>
      </w:r>
      <w:r w:rsidRPr="00752D09">
        <w:t xml:space="preserve">and </w:t>
      </w:r>
      <w:r w:rsidRPr="00752D09">
        <w:rPr>
          <w:spacing w:val="-2"/>
        </w:rPr>
        <w:t>diversify</w:t>
      </w:r>
      <w:r w:rsidRPr="00752D09">
        <w:rPr>
          <w:spacing w:val="-12"/>
        </w:rPr>
        <w:t xml:space="preserve"> </w:t>
      </w:r>
      <w:r w:rsidRPr="00752D09">
        <w:rPr>
          <w:spacing w:val="-2"/>
        </w:rPr>
        <w:t>its</w:t>
      </w:r>
      <w:r w:rsidRPr="00752D09">
        <w:rPr>
          <w:spacing w:val="-12"/>
        </w:rPr>
        <w:t xml:space="preserve"> </w:t>
      </w:r>
      <w:r w:rsidRPr="00752D09">
        <w:rPr>
          <w:spacing w:val="-2"/>
        </w:rPr>
        <w:t>holdings</w:t>
      </w:r>
      <w:r w:rsidRPr="00752D09">
        <w:rPr>
          <w:spacing w:val="-12"/>
        </w:rPr>
        <w:t xml:space="preserve"> </w:t>
      </w:r>
      <w:r w:rsidRPr="00752D09">
        <w:rPr>
          <w:spacing w:val="-2"/>
        </w:rPr>
        <w:t>across</w:t>
      </w:r>
      <w:r w:rsidRPr="00752D09">
        <w:rPr>
          <w:spacing w:val="-12"/>
        </w:rPr>
        <w:t xml:space="preserve"> </w:t>
      </w:r>
      <w:r w:rsidRPr="00752D09">
        <w:rPr>
          <w:spacing w:val="-2"/>
        </w:rPr>
        <w:t>a</w:t>
      </w:r>
      <w:r w:rsidRPr="00752D09">
        <w:rPr>
          <w:spacing w:val="-12"/>
        </w:rPr>
        <w:t xml:space="preserve"> </w:t>
      </w:r>
      <w:r w:rsidRPr="00752D09">
        <w:rPr>
          <w:spacing w:val="-2"/>
        </w:rPr>
        <w:t>growing</w:t>
      </w:r>
      <w:r w:rsidRPr="00752D09">
        <w:rPr>
          <w:spacing w:val="-12"/>
        </w:rPr>
        <w:t xml:space="preserve"> </w:t>
      </w:r>
      <w:r w:rsidRPr="00752D09">
        <w:rPr>
          <w:spacing w:val="-2"/>
        </w:rPr>
        <w:t>number</w:t>
      </w:r>
      <w:r w:rsidRPr="00752D09">
        <w:rPr>
          <w:spacing w:val="-12"/>
        </w:rPr>
        <w:t xml:space="preserve"> </w:t>
      </w:r>
      <w:r w:rsidRPr="00752D09">
        <w:rPr>
          <w:spacing w:val="-2"/>
        </w:rPr>
        <w:t>of</w:t>
      </w:r>
      <w:r w:rsidRPr="00752D09">
        <w:rPr>
          <w:spacing w:val="-12"/>
        </w:rPr>
        <w:t xml:space="preserve"> </w:t>
      </w:r>
      <w:r w:rsidRPr="00752D09">
        <w:rPr>
          <w:spacing w:val="-2"/>
        </w:rPr>
        <w:t>sectors,</w:t>
      </w:r>
      <w:r w:rsidRPr="00752D09">
        <w:rPr>
          <w:spacing w:val="-12"/>
        </w:rPr>
        <w:t xml:space="preserve"> </w:t>
      </w:r>
      <w:r w:rsidRPr="00752D09">
        <w:rPr>
          <w:spacing w:val="-2"/>
        </w:rPr>
        <w:t>including</w:t>
      </w:r>
      <w:r w:rsidRPr="00752D09">
        <w:rPr>
          <w:spacing w:val="-11"/>
        </w:rPr>
        <w:t xml:space="preserve"> </w:t>
      </w:r>
      <w:r w:rsidRPr="00752D09">
        <w:rPr>
          <w:spacing w:val="-2"/>
        </w:rPr>
        <w:t>Real</w:t>
      </w:r>
      <w:r w:rsidRPr="00752D09">
        <w:rPr>
          <w:spacing w:val="-12"/>
        </w:rPr>
        <w:t xml:space="preserve"> </w:t>
      </w:r>
      <w:r w:rsidRPr="00752D09">
        <w:rPr>
          <w:spacing w:val="-2"/>
        </w:rPr>
        <w:t>Estate</w:t>
      </w:r>
      <w:r w:rsidRPr="00752D09">
        <w:rPr>
          <w:spacing w:val="-12"/>
        </w:rPr>
        <w:t xml:space="preserve"> </w:t>
      </w:r>
      <w:r w:rsidRPr="00752D09">
        <w:rPr>
          <w:spacing w:val="-2"/>
        </w:rPr>
        <w:t>Development,</w:t>
      </w:r>
      <w:r w:rsidRPr="00752D09">
        <w:rPr>
          <w:spacing w:val="-12"/>
        </w:rPr>
        <w:t xml:space="preserve"> </w:t>
      </w:r>
      <w:r w:rsidRPr="00752D09">
        <w:rPr>
          <w:spacing w:val="-2"/>
        </w:rPr>
        <w:t xml:space="preserve">Agriculture, </w:t>
      </w:r>
      <w:r w:rsidRPr="00752D09">
        <w:rPr>
          <w:spacing w:val="-6"/>
        </w:rPr>
        <w:t>Healthcare,</w:t>
      </w:r>
      <w:r w:rsidRPr="00752D09">
        <w:rPr>
          <w:spacing w:val="-8"/>
        </w:rPr>
        <w:t xml:space="preserve"> </w:t>
      </w:r>
      <w:r w:rsidRPr="00752D09">
        <w:rPr>
          <w:spacing w:val="-6"/>
        </w:rPr>
        <w:t>Food</w:t>
      </w:r>
      <w:r w:rsidRPr="00752D09">
        <w:rPr>
          <w:spacing w:val="-8"/>
        </w:rPr>
        <w:t xml:space="preserve"> </w:t>
      </w:r>
      <w:r w:rsidRPr="00752D09">
        <w:rPr>
          <w:spacing w:val="-6"/>
        </w:rPr>
        <w:t>and</w:t>
      </w:r>
      <w:r w:rsidRPr="00752D09">
        <w:rPr>
          <w:spacing w:val="-8"/>
        </w:rPr>
        <w:t xml:space="preserve"> </w:t>
      </w:r>
      <w:r w:rsidRPr="00752D09">
        <w:rPr>
          <w:spacing w:val="-6"/>
        </w:rPr>
        <w:t>Beverage,</w:t>
      </w:r>
      <w:r w:rsidRPr="00752D09">
        <w:rPr>
          <w:spacing w:val="-8"/>
        </w:rPr>
        <w:t xml:space="preserve"> </w:t>
      </w:r>
      <w:r w:rsidRPr="00752D09">
        <w:rPr>
          <w:spacing w:val="-6"/>
        </w:rPr>
        <w:t>Utilities,</w:t>
      </w:r>
      <w:r w:rsidRPr="00752D09">
        <w:rPr>
          <w:spacing w:val="-8"/>
        </w:rPr>
        <w:t xml:space="preserve"> </w:t>
      </w:r>
      <w:r w:rsidRPr="00752D09">
        <w:rPr>
          <w:spacing w:val="-6"/>
        </w:rPr>
        <w:t>Industries,</w:t>
      </w:r>
      <w:r w:rsidRPr="00752D09">
        <w:rPr>
          <w:spacing w:val="-8"/>
        </w:rPr>
        <w:t xml:space="preserve"> </w:t>
      </w:r>
      <w:r w:rsidRPr="00752D09">
        <w:rPr>
          <w:spacing w:val="-6"/>
        </w:rPr>
        <w:t>IT</w:t>
      </w:r>
      <w:r w:rsidRPr="00752D09">
        <w:rPr>
          <w:spacing w:val="-8"/>
        </w:rPr>
        <w:t xml:space="preserve"> </w:t>
      </w:r>
      <w:r w:rsidRPr="00752D09">
        <w:rPr>
          <w:spacing w:val="-6"/>
        </w:rPr>
        <w:t>and</w:t>
      </w:r>
      <w:r w:rsidRPr="00752D09">
        <w:rPr>
          <w:spacing w:val="-8"/>
        </w:rPr>
        <w:t xml:space="preserve"> </w:t>
      </w:r>
      <w:r w:rsidRPr="00752D09">
        <w:rPr>
          <w:spacing w:val="-6"/>
        </w:rPr>
        <w:t>Communications</w:t>
      </w:r>
      <w:r>
        <w:rPr>
          <w:spacing w:val="-6"/>
        </w:rPr>
        <w:t>,</w:t>
      </w:r>
      <w:r>
        <w:rPr>
          <w:spacing w:val="-8"/>
        </w:rPr>
        <w:t xml:space="preserve"> </w:t>
      </w:r>
      <w:r>
        <w:rPr>
          <w:spacing w:val="-6"/>
        </w:rPr>
        <w:t>Retail</w:t>
      </w:r>
      <w:r>
        <w:rPr>
          <w:spacing w:val="-7"/>
        </w:rPr>
        <w:t xml:space="preserve"> </w:t>
      </w:r>
      <w:r>
        <w:rPr>
          <w:spacing w:val="-6"/>
        </w:rPr>
        <w:t>and</w:t>
      </w:r>
      <w:r>
        <w:rPr>
          <w:spacing w:val="-8"/>
        </w:rPr>
        <w:t xml:space="preserve"> </w:t>
      </w:r>
      <w:r>
        <w:rPr>
          <w:spacing w:val="-6"/>
        </w:rPr>
        <w:t>Leisure,</w:t>
      </w:r>
      <w:r>
        <w:rPr>
          <w:spacing w:val="-8"/>
        </w:rPr>
        <w:t xml:space="preserve"> </w:t>
      </w:r>
      <w:r>
        <w:rPr>
          <w:spacing w:val="-6"/>
        </w:rPr>
        <w:t>and</w:t>
      </w:r>
      <w:r>
        <w:rPr>
          <w:spacing w:val="-8"/>
        </w:rPr>
        <w:t xml:space="preserve"> </w:t>
      </w:r>
      <w:r>
        <w:rPr>
          <w:spacing w:val="-6"/>
        </w:rPr>
        <w:t>Capital.</w:t>
      </w:r>
    </w:p>
    <w:p w14:paraId="5436A891" w14:textId="07D40A7C" w:rsidR="0043337E" w:rsidRDefault="0043337E" w:rsidP="00194951">
      <w:pPr>
        <w:spacing w:before="127" w:line="276" w:lineRule="auto"/>
        <w:ind w:left="100" w:right="160"/>
        <w:jc w:val="both"/>
        <w:rPr>
          <w:spacing w:val="-2"/>
        </w:rPr>
      </w:pPr>
      <w:r>
        <w:rPr>
          <w:spacing w:val="-6"/>
        </w:rPr>
        <w:t>With</w:t>
      </w:r>
      <w:r>
        <w:rPr>
          <w:spacing w:val="-8"/>
        </w:rPr>
        <w:t xml:space="preserve"> </w:t>
      </w:r>
      <w:r>
        <w:rPr>
          <w:spacing w:val="-6"/>
        </w:rPr>
        <w:t>a</w:t>
      </w:r>
      <w:r>
        <w:rPr>
          <w:spacing w:val="-8"/>
        </w:rPr>
        <w:t xml:space="preserve"> </w:t>
      </w:r>
      <w:r>
        <w:rPr>
          <w:spacing w:val="-6"/>
        </w:rPr>
        <w:t>core</w:t>
      </w:r>
      <w:r>
        <w:rPr>
          <w:spacing w:val="-8"/>
        </w:rPr>
        <w:t xml:space="preserve"> </w:t>
      </w:r>
      <w:r>
        <w:rPr>
          <w:spacing w:val="-6"/>
        </w:rPr>
        <w:t>strategy</w:t>
      </w:r>
      <w:r>
        <w:rPr>
          <w:spacing w:val="-8"/>
        </w:rPr>
        <w:t xml:space="preserve"> </w:t>
      </w:r>
      <w:r>
        <w:rPr>
          <w:spacing w:val="-6"/>
        </w:rPr>
        <w:t>to</w:t>
      </w:r>
      <w:r>
        <w:rPr>
          <w:spacing w:val="-8"/>
        </w:rPr>
        <w:t xml:space="preserve"> </w:t>
      </w:r>
      <w:r>
        <w:rPr>
          <w:spacing w:val="-6"/>
        </w:rPr>
        <w:t>enhance</w:t>
      </w:r>
      <w:r>
        <w:rPr>
          <w:spacing w:val="-8"/>
        </w:rPr>
        <w:t xml:space="preserve"> </w:t>
      </w:r>
      <w:r>
        <w:rPr>
          <w:spacing w:val="-6"/>
        </w:rPr>
        <w:t>shareholder</w:t>
      </w:r>
      <w:r>
        <w:rPr>
          <w:spacing w:val="-8"/>
        </w:rPr>
        <w:t xml:space="preserve"> </w:t>
      </w:r>
      <w:r>
        <w:rPr>
          <w:spacing w:val="-6"/>
        </w:rPr>
        <w:t>value</w:t>
      </w:r>
      <w:r>
        <w:rPr>
          <w:spacing w:val="-8"/>
        </w:rPr>
        <w:t xml:space="preserve"> </w:t>
      </w:r>
      <w:r>
        <w:rPr>
          <w:spacing w:val="-6"/>
        </w:rPr>
        <w:t>and</w:t>
      </w:r>
      <w:r>
        <w:rPr>
          <w:spacing w:val="-8"/>
        </w:rPr>
        <w:t xml:space="preserve"> </w:t>
      </w:r>
      <w:r>
        <w:rPr>
          <w:spacing w:val="-6"/>
        </w:rPr>
        <w:t>achieve</w:t>
      </w:r>
      <w:r>
        <w:rPr>
          <w:spacing w:val="-7"/>
        </w:rPr>
        <w:t xml:space="preserve"> </w:t>
      </w:r>
      <w:r>
        <w:rPr>
          <w:spacing w:val="-6"/>
        </w:rPr>
        <w:t>growth,</w:t>
      </w:r>
      <w:r>
        <w:rPr>
          <w:spacing w:val="-8"/>
        </w:rPr>
        <w:t xml:space="preserve"> </w:t>
      </w:r>
      <w:r>
        <w:rPr>
          <w:spacing w:val="-6"/>
        </w:rPr>
        <w:t>IHC</w:t>
      </w:r>
      <w:r>
        <w:rPr>
          <w:spacing w:val="-7"/>
        </w:rPr>
        <w:t xml:space="preserve"> </w:t>
      </w:r>
      <w:r>
        <w:rPr>
          <w:spacing w:val="-6"/>
        </w:rPr>
        <w:t>drives</w:t>
      </w:r>
      <w:r>
        <w:rPr>
          <w:spacing w:val="-7"/>
        </w:rPr>
        <w:t xml:space="preserve"> </w:t>
      </w:r>
      <w:r>
        <w:rPr>
          <w:spacing w:val="-6"/>
        </w:rPr>
        <w:t>operational</w:t>
      </w:r>
      <w:r>
        <w:rPr>
          <w:spacing w:val="-8"/>
        </w:rPr>
        <w:t xml:space="preserve"> </w:t>
      </w:r>
      <w:r>
        <w:rPr>
          <w:spacing w:val="-6"/>
        </w:rPr>
        <w:t xml:space="preserve">synergies and </w:t>
      </w:r>
      <w:r>
        <w:rPr>
          <w:spacing w:val="-4"/>
        </w:rPr>
        <w:t>maximizes</w:t>
      </w:r>
      <w:r>
        <w:rPr>
          <w:spacing w:val="-10"/>
        </w:rPr>
        <w:t xml:space="preserve"> </w:t>
      </w:r>
      <w:r>
        <w:rPr>
          <w:spacing w:val="-4"/>
        </w:rPr>
        <w:t>cost</w:t>
      </w:r>
      <w:r>
        <w:rPr>
          <w:spacing w:val="-10"/>
        </w:rPr>
        <w:t xml:space="preserve"> </w:t>
      </w:r>
      <w:r>
        <w:rPr>
          <w:spacing w:val="-4"/>
        </w:rPr>
        <w:t>efficiencies</w:t>
      </w:r>
      <w:r>
        <w:rPr>
          <w:spacing w:val="-10"/>
        </w:rPr>
        <w:t xml:space="preserve"> </w:t>
      </w:r>
      <w:r>
        <w:rPr>
          <w:spacing w:val="-4"/>
        </w:rPr>
        <w:t>across</w:t>
      </w:r>
      <w:r>
        <w:rPr>
          <w:spacing w:val="-10"/>
        </w:rPr>
        <w:t xml:space="preserve"> </w:t>
      </w:r>
      <w:r>
        <w:rPr>
          <w:spacing w:val="-4"/>
        </w:rPr>
        <w:t>all</w:t>
      </w:r>
      <w:r>
        <w:rPr>
          <w:spacing w:val="-10"/>
        </w:rPr>
        <w:t xml:space="preserve"> </w:t>
      </w:r>
      <w:r>
        <w:rPr>
          <w:spacing w:val="-4"/>
        </w:rPr>
        <w:t>verticals</w:t>
      </w:r>
      <w:r>
        <w:rPr>
          <w:spacing w:val="-10"/>
        </w:rPr>
        <w:t xml:space="preserve"> </w:t>
      </w:r>
      <w:r>
        <w:rPr>
          <w:spacing w:val="-4"/>
        </w:rPr>
        <w:t>–</w:t>
      </w:r>
      <w:r>
        <w:rPr>
          <w:spacing w:val="-10"/>
        </w:rPr>
        <w:t xml:space="preserve"> </w:t>
      </w:r>
      <w:r>
        <w:rPr>
          <w:spacing w:val="-4"/>
        </w:rPr>
        <w:t>it</w:t>
      </w:r>
      <w:r>
        <w:rPr>
          <w:spacing w:val="-10"/>
        </w:rPr>
        <w:t xml:space="preserve"> </w:t>
      </w:r>
      <w:r>
        <w:rPr>
          <w:spacing w:val="-4"/>
        </w:rPr>
        <w:t>also</w:t>
      </w:r>
      <w:r>
        <w:rPr>
          <w:spacing w:val="-10"/>
        </w:rPr>
        <w:t xml:space="preserve"> </w:t>
      </w:r>
      <w:r>
        <w:rPr>
          <w:spacing w:val="-4"/>
        </w:rPr>
        <w:t>continues</w:t>
      </w:r>
      <w:r w:rsidR="00194951">
        <w:rPr>
          <w:spacing w:val="-4"/>
        </w:rPr>
        <w:t xml:space="preserve"> </w:t>
      </w:r>
      <w:r>
        <w:t>to</w:t>
      </w:r>
      <w:r>
        <w:rPr>
          <w:spacing w:val="-14"/>
        </w:rPr>
        <w:t xml:space="preserve"> </w:t>
      </w:r>
      <w:r>
        <w:t>evaluate</w:t>
      </w:r>
      <w:r>
        <w:rPr>
          <w:spacing w:val="-14"/>
        </w:rPr>
        <w:t xml:space="preserve"> </w:t>
      </w:r>
      <w:r>
        <w:t>investment</w:t>
      </w:r>
      <w:r>
        <w:rPr>
          <w:spacing w:val="-14"/>
        </w:rPr>
        <w:t xml:space="preserve"> </w:t>
      </w:r>
      <w:r>
        <w:t>opportunities</w:t>
      </w:r>
      <w:r>
        <w:rPr>
          <w:spacing w:val="-14"/>
        </w:rPr>
        <w:t xml:space="preserve"> </w:t>
      </w:r>
      <w:r>
        <w:t>through</w:t>
      </w:r>
      <w:r>
        <w:rPr>
          <w:spacing w:val="-14"/>
        </w:rPr>
        <w:t xml:space="preserve"> </w:t>
      </w:r>
      <w:r>
        <w:t>direct</w:t>
      </w:r>
      <w:r>
        <w:rPr>
          <w:spacing w:val="-14"/>
        </w:rPr>
        <w:t xml:space="preserve"> </w:t>
      </w:r>
      <w:r>
        <w:t>ownership</w:t>
      </w:r>
      <w:r>
        <w:rPr>
          <w:spacing w:val="-14"/>
        </w:rPr>
        <w:t xml:space="preserve"> </w:t>
      </w:r>
      <w:r>
        <w:t>and</w:t>
      </w:r>
      <w:r>
        <w:rPr>
          <w:spacing w:val="-14"/>
        </w:rPr>
        <w:t xml:space="preserve"> </w:t>
      </w:r>
      <w:r>
        <w:t>entering</w:t>
      </w:r>
      <w:r>
        <w:rPr>
          <w:spacing w:val="-14"/>
        </w:rPr>
        <w:t xml:space="preserve"> </w:t>
      </w:r>
      <w:r>
        <w:t>partnerships</w:t>
      </w:r>
      <w:r>
        <w:rPr>
          <w:spacing w:val="-13"/>
        </w:rPr>
        <w:t xml:space="preserve"> </w:t>
      </w:r>
      <w:r>
        <w:t>in</w:t>
      </w:r>
      <w:r>
        <w:rPr>
          <w:spacing w:val="-14"/>
        </w:rPr>
        <w:t xml:space="preserve"> </w:t>
      </w:r>
      <w:r>
        <w:t>the</w:t>
      </w:r>
      <w:r>
        <w:rPr>
          <w:spacing w:val="-14"/>
        </w:rPr>
        <w:t xml:space="preserve"> </w:t>
      </w:r>
      <w:r>
        <w:t>UAE</w:t>
      </w:r>
      <w:r>
        <w:rPr>
          <w:spacing w:val="-14"/>
        </w:rPr>
        <w:t xml:space="preserve"> </w:t>
      </w:r>
      <w:r>
        <w:t xml:space="preserve">and </w:t>
      </w:r>
      <w:r>
        <w:rPr>
          <w:spacing w:val="-4"/>
        </w:rPr>
        <w:t>abroad. As the world</w:t>
      </w:r>
      <w:r>
        <w:rPr>
          <w:spacing w:val="-6"/>
        </w:rPr>
        <w:t xml:space="preserve"> </w:t>
      </w:r>
      <w:r>
        <w:rPr>
          <w:spacing w:val="-4"/>
        </w:rPr>
        <w:t xml:space="preserve">changes and new opportunities arise, IHC remains focused on resilience, innovation, </w:t>
      </w:r>
      <w:r>
        <w:rPr>
          <w:spacing w:val="-2"/>
        </w:rPr>
        <w:t>and</w:t>
      </w:r>
      <w:r>
        <w:rPr>
          <w:spacing w:val="-12"/>
        </w:rPr>
        <w:t xml:space="preserve"> </w:t>
      </w:r>
      <w:r>
        <w:rPr>
          <w:spacing w:val="-2"/>
        </w:rPr>
        <w:t>redefining</w:t>
      </w:r>
      <w:r>
        <w:rPr>
          <w:spacing w:val="-12"/>
        </w:rPr>
        <w:t xml:space="preserve"> </w:t>
      </w:r>
      <w:r>
        <w:rPr>
          <w:spacing w:val="-2"/>
        </w:rPr>
        <w:t>the</w:t>
      </w:r>
      <w:r>
        <w:rPr>
          <w:spacing w:val="-12"/>
        </w:rPr>
        <w:t xml:space="preserve"> </w:t>
      </w:r>
      <w:r>
        <w:rPr>
          <w:spacing w:val="-2"/>
        </w:rPr>
        <w:t>marketplace</w:t>
      </w:r>
      <w:r>
        <w:rPr>
          <w:spacing w:val="-12"/>
        </w:rPr>
        <w:t xml:space="preserve"> </w:t>
      </w:r>
      <w:r>
        <w:rPr>
          <w:spacing w:val="-2"/>
        </w:rPr>
        <w:t>for</w:t>
      </w:r>
      <w:r>
        <w:rPr>
          <w:spacing w:val="-12"/>
        </w:rPr>
        <w:t xml:space="preserve"> </w:t>
      </w:r>
      <w:r>
        <w:rPr>
          <w:spacing w:val="-2"/>
        </w:rPr>
        <w:t>itself,</w:t>
      </w:r>
      <w:r>
        <w:rPr>
          <w:spacing w:val="-12"/>
        </w:rPr>
        <w:t xml:space="preserve"> </w:t>
      </w:r>
      <w:r>
        <w:rPr>
          <w:spacing w:val="-2"/>
        </w:rPr>
        <w:t>its</w:t>
      </w:r>
      <w:r>
        <w:rPr>
          <w:spacing w:val="-12"/>
        </w:rPr>
        <w:t xml:space="preserve"> </w:t>
      </w:r>
      <w:r>
        <w:rPr>
          <w:spacing w:val="-2"/>
        </w:rPr>
        <w:t>clients,</w:t>
      </w:r>
      <w:r>
        <w:rPr>
          <w:spacing w:val="-12"/>
        </w:rPr>
        <w:t xml:space="preserve"> </w:t>
      </w:r>
      <w:r>
        <w:rPr>
          <w:spacing w:val="-2"/>
        </w:rPr>
        <w:t>and</w:t>
      </w:r>
      <w:r>
        <w:rPr>
          <w:spacing w:val="-12"/>
        </w:rPr>
        <w:t xml:space="preserve"> </w:t>
      </w:r>
      <w:r>
        <w:rPr>
          <w:spacing w:val="-2"/>
        </w:rPr>
        <w:t>its</w:t>
      </w:r>
      <w:r>
        <w:rPr>
          <w:spacing w:val="-11"/>
        </w:rPr>
        <w:t xml:space="preserve"> </w:t>
      </w:r>
      <w:r>
        <w:rPr>
          <w:spacing w:val="-2"/>
        </w:rPr>
        <w:t>partners.</w:t>
      </w:r>
    </w:p>
    <w:p w14:paraId="204E8EC9" w14:textId="77777777" w:rsidR="00225118" w:rsidRDefault="00225118" w:rsidP="0043337E">
      <w:pPr>
        <w:spacing w:before="121" w:line="276" w:lineRule="auto"/>
        <w:ind w:left="100" w:right="161"/>
        <w:jc w:val="both"/>
        <w:rPr>
          <w:spacing w:val="-2"/>
        </w:rPr>
      </w:pPr>
    </w:p>
    <w:p w14:paraId="25AD6290" w14:textId="00C87BFB" w:rsidR="00B04A5E" w:rsidRPr="00225118" w:rsidRDefault="00225118" w:rsidP="00225118">
      <w:pPr>
        <w:bidi/>
        <w:jc w:val="center"/>
        <w:rPr>
          <w:rFonts w:asciiTheme="minorBidi" w:hAnsiTheme="minorBidi"/>
          <w:b/>
          <w:bCs/>
          <w:sz w:val="22"/>
          <w:szCs w:val="22"/>
        </w:rPr>
      </w:pPr>
      <w:r w:rsidRPr="006F6927">
        <w:rPr>
          <w:rFonts w:asciiTheme="minorBidi" w:hAnsiTheme="minorBidi"/>
          <w:b/>
          <w:bCs/>
          <w:sz w:val="22"/>
          <w:szCs w:val="22"/>
        </w:rPr>
        <w:t xml:space="preserve">www.ihcuae.com </w:t>
      </w:r>
      <w:r w:rsidR="00B04A5E" w:rsidRPr="002618A7">
        <w:rPr>
          <w:rFonts w:ascii="Calibri" w:hAnsi="Calibri" w:cs="Calibri"/>
          <w:sz w:val="24"/>
          <w:szCs w:val="24"/>
        </w:rPr>
        <w:tab/>
      </w:r>
    </w:p>
    <w:p w14:paraId="07AAEF94" w14:textId="77777777" w:rsidR="00B04A5E" w:rsidRPr="002618A7" w:rsidRDefault="00B04A5E" w:rsidP="00B04A5E">
      <w:pPr>
        <w:tabs>
          <w:tab w:val="left" w:pos="6420"/>
        </w:tabs>
        <w:spacing w:after="0"/>
        <w:jc w:val="both"/>
        <w:rPr>
          <w:rFonts w:ascii="Calibri" w:hAnsi="Calibri" w:cs="Calibri"/>
          <w:b/>
          <w:bCs/>
        </w:rPr>
      </w:pPr>
      <w:r w:rsidRPr="002618A7">
        <w:rPr>
          <w:rFonts w:ascii="Calibri" w:hAnsi="Calibri" w:cs="Calibri"/>
          <w:b/>
          <w:bCs/>
        </w:rPr>
        <w:t>Media Contacts</w:t>
      </w:r>
    </w:p>
    <w:p w14:paraId="43B5BC42" w14:textId="77777777" w:rsidR="00B04A5E" w:rsidRPr="002618A7" w:rsidRDefault="00B04A5E" w:rsidP="00B04A5E">
      <w:pPr>
        <w:tabs>
          <w:tab w:val="left" w:pos="6420"/>
        </w:tabs>
        <w:spacing w:after="0"/>
        <w:jc w:val="both"/>
        <w:rPr>
          <w:rFonts w:ascii="Calibri" w:hAnsi="Calibri" w:cs="Calibri"/>
        </w:rPr>
      </w:pPr>
      <w:r w:rsidRPr="002618A7">
        <w:rPr>
          <w:rFonts w:ascii="Calibri" w:hAnsi="Calibri" w:cs="Calibri"/>
        </w:rPr>
        <w:t xml:space="preserve">Ahmad Ibrahim </w:t>
      </w:r>
    </w:p>
    <w:p w14:paraId="2E04125C" w14:textId="77777777" w:rsidR="00B04A5E" w:rsidRPr="00DD5113" w:rsidRDefault="00B04A5E" w:rsidP="00B04A5E">
      <w:pPr>
        <w:tabs>
          <w:tab w:val="left" w:pos="6420"/>
        </w:tabs>
        <w:spacing w:after="0"/>
        <w:jc w:val="both"/>
        <w:rPr>
          <w:rFonts w:ascii="Calibri" w:hAnsi="Calibri" w:cs="Calibri"/>
          <w:lang w:val="it-IT"/>
        </w:rPr>
      </w:pPr>
      <w:r w:rsidRPr="00DD5113">
        <w:rPr>
          <w:rFonts w:ascii="Calibri" w:hAnsi="Calibri" w:cs="Calibri"/>
          <w:lang w:val="it-IT"/>
        </w:rPr>
        <w:t xml:space="preserve">Corporate Communication &amp; Media Manager </w:t>
      </w:r>
    </w:p>
    <w:p w14:paraId="1153AA2F" w14:textId="7D734137" w:rsidR="00A6580E" w:rsidRPr="00B865CE" w:rsidRDefault="00000000" w:rsidP="00B865CE">
      <w:pPr>
        <w:tabs>
          <w:tab w:val="left" w:pos="6420"/>
        </w:tabs>
        <w:spacing w:after="0"/>
        <w:jc w:val="both"/>
        <w:rPr>
          <w:rFonts w:ascii="Calibri" w:hAnsi="Calibri" w:cs="Calibri"/>
          <w:lang w:val="it-IT"/>
        </w:rPr>
      </w:pPr>
      <w:hyperlink r:id="rId11" w:history="1">
        <w:r w:rsidR="00B04A5E" w:rsidRPr="00DD5113">
          <w:rPr>
            <w:rStyle w:val="Hyperlink"/>
            <w:rFonts w:ascii="Calibri" w:hAnsi="Calibri" w:cs="Calibri"/>
            <w:lang w:val="it-IT"/>
          </w:rPr>
          <w:t>Ahmad.ibrahim@ihcuae.com</w:t>
        </w:r>
      </w:hyperlink>
      <w:r w:rsidR="00B04A5E" w:rsidRPr="00DD5113">
        <w:rPr>
          <w:rFonts w:ascii="Calibri" w:hAnsi="Calibri" w:cs="Calibri"/>
          <w:lang w:val="it-IT"/>
        </w:rPr>
        <w:t xml:space="preserve"> </w:t>
      </w:r>
    </w:p>
    <w:sectPr w:rsidR="00A6580E" w:rsidRPr="00B865CE" w:rsidSect="007A4AB2">
      <w:headerReference w:type="default" r:id="rId12"/>
      <w:footerReference w:type="default" r:id="rId13"/>
      <w:headerReference w:type="first" r:id="rId14"/>
      <w:footerReference w:type="first" r:id="rId15"/>
      <w:pgSz w:w="11907" w:h="16839" w:code="9"/>
      <w:pgMar w:top="20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1CAB" w14:textId="77777777" w:rsidR="00B23A3C" w:rsidRDefault="00B23A3C">
      <w:pPr>
        <w:spacing w:after="0"/>
      </w:pPr>
      <w:r>
        <w:separator/>
      </w:r>
    </w:p>
  </w:endnote>
  <w:endnote w:type="continuationSeparator" w:id="0">
    <w:p w14:paraId="5601DB20" w14:textId="77777777" w:rsidR="00B23A3C" w:rsidRDefault="00B23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C828"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8F5376">
          <w:rPr>
            <w:noProof/>
          </w:rPr>
          <w:t>3</w:t>
        </w:r>
        <w:r w:rsidR="00353DBF" w:rsidRPr="00902929">
          <w:rPr>
            <w:noProof/>
          </w:rPr>
          <w:fldChar w:fldCharType="end"/>
        </w:r>
      </w:sdtContent>
    </w:sdt>
  </w:p>
  <w:p w14:paraId="12E07C8D" w14:textId="77777777" w:rsidR="003E570E" w:rsidRDefault="003E570E"/>
  <w:p w14:paraId="4916F4C7" w14:textId="77777777" w:rsidR="003E570E" w:rsidRDefault="003E57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37E"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8F5376">
          <w:rPr>
            <w:noProof/>
            <w:sz w:val="14"/>
          </w:rPr>
          <w:t>1</w:t>
        </w:r>
        <w:r w:rsidR="00D21B39" w:rsidRPr="001E0ECE">
          <w:rPr>
            <w:noProof/>
            <w:sz w:val="14"/>
          </w:rPr>
          <w:fldChar w:fldCharType="end"/>
        </w:r>
      </w:sdtContent>
    </w:sdt>
  </w:p>
  <w:p w14:paraId="77589670" w14:textId="77777777" w:rsidR="003E570E" w:rsidRDefault="003E570E"/>
  <w:p w14:paraId="1C903356" w14:textId="77777777" w:rsidR="003E570E" w:rsidRDefault="003E5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D654" w14:textId="77777777" w:rsidR="00B23A3C" w:rsidRDefault="00B23A3C">
      <w:pPr>
        <w:spacing w:after="0"/>
      </w:pPr>
      <w:r>
        <w:separator/>
      </w:r>
    </w:p>
  </w:footnote>
  <w:footnote w:type="continuationSeparator" w:id="0">
    <w:p w14:paraId="52B2C116" w14:textId="77777777" w:rsidR="00B23A3C" w:rsidRDefault="00B23A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D04C" w14:textId="77777777" w:rsidR="00225118" w:rsidRDefault="00225118" w:rsidP="00225118">
    <w:pPr>
      <w:jc w:val="right"/>
      <w:rPr>
        <w:sz w:val="28"/>
        <w:szCs w:val="28"/>
      </w:rPr>
    </w:pPr>
    <w:r>
      <w:rPr>
        <w:noProof/>
      </w:rPr>
      <w:drawing>
        <wp:anchor distT="0" distB="0" distL="114300" distR="114300" simplePos="0" relativeHeight="251664384" behindDoc="0" locked="0" layoutInCell="1" allowOverlap="1" wp14:anchorId="20B0DBEF" wp14:editId="3BF2359E">
          <wp:simplePos x="0" y="0"/>
          <wp:positionH relativeFrom="column">
            <wp:posOffset>4965834</wp:posOffset>
          </wp:positionH>
          <wp:positionV relativeFrom="paragraph">
            <wp:posOffset>-91440</wp:posOffset>
          </wp:positionV>
          <wp:extent cx="799179" cy="8509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001BD" w14:textId="1B7770D3" w:rsidR="00225118" w:rsidRDefault="00225118" w:rsidP="00225118">
    <w:pPr>
      <w:jc w:val="right"/>
      <w:rPr>
        <w:rFonts w:ascii="Calibri" w:hAnsi="Calibri" w:cs="Calibri"/>
        <w:bCs/>
        <w:sz w:val="24"/>
        <w:szCs w:val="24"/>
        <w:lang w:val="en-US"/>
      </w:rPr>
    </w:pPr>
  </w:p>
  <w:p w14:paraId="50300580" w14:textId="77777777" w:rsidR="00F84095" w:rsidRPr="00B04A5E" w:rsidRDefault="00F84095" w:rsidP="00225118">
    <w:pPr>
      <w:jc w:val="right"/>
      <w:rPr>
        <w:b/>
        <w:bCs/>
        <w:sz w:val="10"/>
        <w:szCs w:val="10"/>
      </w:rPr>
    </w:pPr>
  </w:p>
  <w:p w14:paraId="28DF7C50" w14:textId="77777777" w:rsidR="00225118" w:rsidRPr="00B04A5E" w:rsidRDefault="00225118" w:rsidP="00225118">
    <w:pPr>
      <w:jc w:val="right"/>
      <w:rPr>
        <w:sz w:val="22"/>
        <w:szCs w:val="22"/>
      </w:rPr>
    </w:pPr>
    <w:r w:rsidRPr="00B04A5E">
      <w:rPr>
        <w:sz w:val="22"/>
        <w:szCs w:val="22"/>
      </w:rPr>
      <w:t>Press Release</w:t>
    </w:r>
  </w:p>
  <w:p w14:paraId="7BB6EC21" w14:textId="53F84FDE" w:rsidR="003E570E" w:rsidRDefault="003E5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FB1E" w14:textId="54C48131" w:rsidR="00A278E2" w:rsidRDefault="00177CDD" w:rsidP="00A278E2">
    <w:pPr>
      <w:jc w:val="right"/>
      <w:rPr>
        <w:sz w:val="28"/>
        <w:szCs w:val="28"/>
      </w:rPr>
    </w:pPr>
    <w:r>
      <w:rPr>
        <w:noProof/>
      </w:rPr>
      <w:drawing>
        <wp:anchor distT="0" distB="0" distL="114300" distR="114300" simplePos="0" relativeHeight="251662336" behindDoc="0" locked="0" layoutInCell="1" allowOverlap="1" wp14:anchorId="2D751FC4" wp14:editId="40E98262">
          <wp:simplePos x="0" y="0"/>
          <wp:positionH relativeFrom="column">
            <wp:posOffset>4965834</wp:posOffset>
          </wp:positionH>
          <wp:positionV relativeFrom="paragraph">
            <wp:posOffset>-91440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0A7ADB" w14:textId="1732A4B0" w:rsidR="00B04A5E" w:rsidRDefault="00B04A5E" w:rsidP="007A4AB2">
    <w:pPr>
      <w:jc w:val="right"/>
      <w:rPr>
        <w:rFonts w:ascii="Calibri" w:hAnsi="Calibri" w:cs="Calibri"/>
        <w:bCs/>
        <w:sz w:val="24"/>
        <w:szCs w:val="24"/>
        <w:lang w:val="en-US"/>
      </w:rPr>
    </w:pPr>
  </w:p>
  <w:p w14:paraId="15C44B96" w14:textId="77777777" w:rsidR="006E2878" w:rsidRPr="00B04A5E" w:rsidRDefault="006E2878" w:rsidP="007A4AB2">
    <w:pPr>
      <w:jc w:val="right"/>
      <w:rPr>
        <w:b/>
        <w:bCs/>
        <w:sz w:val="10"/>
        <w:szCs w:val="10"/>
      </w:rPr>
    </w:pPr>
  </w:p>
  <w:p w14:paraId="0110E07C" w14:textId="3918FA2F" w:rsidR="003E570E" w:rsidRPr="00B04A5E" w:rsidRDefault="009F43F5" w:rsidP="00225118">
    <w:pPr>
      <w:jc w:val="right"/>
      <w:rPr>
        <w:sz w:val="22"/>
        <w:szCs w:val="22"/>
      </w:rPr>
    </w:pPr>
    <w:r w:rsidRPr="00B04A5E">
      <w:rPr>
        <w:sz w:val="22"/>
        <w:szCs w:val="2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12E7"/>
    <w:multiLevelType w:val="hybridMultilevel"/>
    <w:tmpl w:val="9C62D0A2"/>
    <w:lvl w:ilvl="0" w:tplc="27961D2E">
      <w:start w:val="1"/>
      <w:numFmt w:val="bullet"/>
      <w:lvlText w:val=""/>
      <w:lvlJc w:val="left"/>
      <w:pPr>
        <w:ind w:left="720" w:hanging="360"/>
      </w:pPr>
      <w:rPr>
        <w:rFonts w:ascii="Symbol" w:hAnsi="Symbol" w:hint="default"/>
      </w:rPr>
    </w:lvl>
    <w:lvl w:ilvl="1" w:tplc="D91CA1A0" w:tentative="1">
      <w:start w:val="1"/>
      <w:numFmt w:val="bullet"/>
      <w:lvlText w:val="o"/>
      <w:lvlJc w:val="left"/>
      <w:pPr>
        <w:ind w:left="1440" w:hanging="360"/>
      </w:pPr>
      <w:rPr>
        <w:rFonts w:ascii="Courier New" w:hAnsi="Courier New" w:cs="Courier New" w:hint="default"/>
      </w:rPr>
    </w:lvl>
    <w:lvl w:ilvl="2" w:tplc="15F81236" w:tentative="1">
      <w:start w:val="1"/>
      <w:numFmt w:val="bullet"/>
      <w:lvlText w:val=""/>
      <w:lvlJc w:val="left"/>
      <w:pPr>
        <w:ind w:left="2160" w:hanging="360"/>
      </w:pPr>
      <w:rPr>
        <w:rFonts w:ascii="Wingdings" w:hAnsi="Wingdings" w:hint="default"/>
      </w:rPr>
    </w:lvl>
    <w:lvl w:ilvl="3" w:tplc="EF90E8DE" w:tentative="1">
      <w:start w:val="1"/>
      <w:numFmt w:val="bullet"/>
      <w:lvlText w:val=""/>
      <w:lvlJc w:val="left"/>
      <w:pPr>
        <w:ind w:left="2880" w:hanging="360"/>
      </w:pPr>
      <w:rPr>
        <w:rFonts w:ascii="Symbol" w:hAnsi="Symbol" w:hint="default"/>
      </w:rPr>
    </w:lvl>
    <w:lvl w:ilvl="4" w:tplc="30488BF4" w:tentative="1">
      <w:start w:val="1"/>
      <w:numFmt w:val="bullet"/>
      <w:lvlText w:val="o"/>
      <w:lvlJc w:val="left"/>
      <w:pPr>
        <w:ind w:left="3600" w:hanging="360"/>
      </w:pPr>
      <w:rPr>
        <w:rFonts w:ascii="Courier New" w:hAnsi="Courier New" w:cs="Courier New" w:hint="default"/>
      </w:rPr>
    </w:lvl>
    <w:lvl w:ilvl="5" w:tplc="BB8EAAC2" w:tentative="1">
      <w:start w:val="1"/>
      <w:numFmt w:val="bullet"/>
      <w:lvlText w:val=""/>
      <w:lvlJc w:val="left"/>
      <w:pPr>
        <w:ind w:left="4320" w:hanging="360"/>
      </w:pPr>
      <w:rPr>
        <w:rFonts w:ascii="Wingdings" w:hAnsi="Wingdings" w:hint="default"/>
      </w:rPr>
    </w:lvl>
    <w:lvl w:ilvl="6" w:tplc="70C6BAC6" w:tentative="1">
      <w:start w:val="1"/>
      <w:numFmt w:val="bullet"/>
      <w:lvlText w:val=""/>
      <w:lvlJc w:val="left"/>
      <w:pPr>
        <w:ind w:left="5040" w:hanging="360"/>
      </w:pPr>
      <w:rPr>
        <w:rFonts w:ascii="Symbol" w:hAnsi="Symbol" w:hint="default"/>
      </w:rPr>
    </w:lvl>
    <w:lvl w:ilvl="7" w:tplc="B3705BC6" w:tentative="1">
      <w:start w:val="1"/>
      <w:numFmt w:val="bullet"/>
      <w:lvlText w:val="o"/>
      <w:lvlJc w:val="left"/>
      <w:pPr>
        <w:ind w:left="5760" w:hanging="360"/>
      </w:pPr>
      <w:rPr>
        <w:rFonts w:ascii="Courier New" w:hAnsi="Courier New" w:cs="Courier New" w:hint="default"/>
      </w:rPr>
    </w:lvl>
    <w:lvl w:ilvl="8" w:tplc="4760B996" w:tentative="1">
      <w:start w:val="1"/>
      <w:numFmt w:val="bullet"/>
      <w:lvlText w:val=""/>
      <w:lvlJc w:val="left"/>
      <w:pPr>
        <w:ind w:left="6480" w:hanging="360"/>
      </w:pPr>
      <w:rPr>
        <w:rFonts w:ascii="Wingdings" w:hAnsi="Wingdings" w:hint="default"/>
      </w:rPr>
    </w:lvl>
  </w:abstractNum>
  <w:abstractNum w:abstractNumId="1" w15:restartNumberingAfterBreak="0">
    <w:nsid w:val="45A20A1E"/>
    <w:multiLevelType w:val="hybridMultilevel"/>
    <w:tmpl w:val="DBBC78E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182CE14"/>
    <w:lvl w:ilvl="0" w:tplc="9EB629CC">
      <w:start w:val="1"/>
      <w:numFmt w:val="bullet"/>
      <w:pStyle w:val="Bullets1"/>
      <w:lvlText w:val=""/>
      <w:lvlJc w:val="left"/>
      <w:pPr>
        <w:ind w:left="720" w:hanging="360"/>
      </w:pPr>
      <w:rPr>
        <w:rFonts w:ascii="Wingdings" w:hAnsi="Wingdings" w:hint="default"/>
      </w:rPr>
    </w:lvl>
    <w:lvl w:ilvl="1" w:tplc="F3A220BE">
      <w:start w:val="1"/>
      <w:numFmt w:val="bullet"/>
      <w:lvlText w:val="o"/>
      <w:lvlJc w:val="left"/>
      <w:pPr>
        <w:ind w:left="1440" w:hanging="360"/>
      </w:pPr>
      <w:rPr>
        <w:rFonts w:ascii="Courier New" w:hAnsi="Courier New" w:cs="Courier New" w:hint="default"/>
      </w:rPr>
    </w:lvl>
    <w:lvl w:ilvl="2" w:tplc="8ADCA62C" w:tentative="1">
      <w:start w:val="1"/>
      <w:numFmt w:val="bullet"/>
      <w:lvlText w:val=""/>
      <w:lvlJc w:val="left"/>
      <w:pPr>
        <w:ind w:left="2160" w:hanging="360"/>
      </w:pPr>
      <w:rPr>
        <w:rFonts w:ascii="Wingdings" w:hAnsi="Wingdings" w:hint="default"/>
      </w:rPr>
    </w:lvl>
    <w:lvl w:ilvl="3" w:tplc="52EA33F2" w:tentative="1">
      <w:start w:val="1"/>
      <w:numFmt w:val="bullet"/>
      <w:lvlText w:val=""/>
      <w:lvlJc w:val="left"/>
      <w:pPr>
        <w:ind w:left="2880" w:hanging="360"/>
      </w:pPr>
      <w:rPr>
        <w:rFonts w:ascii="Symbol" w:hAnsi="Symbol" w:hint="default"/>
      </w:rPr>
    </w:lvl>
    <w:lvl w:ilvl="4" w:tplc="2AC07DF8" w:tentative="1">
      <w:start w:val="1"/>
      <w:numFmt w:val="bullet"/>
      <w:lvlText w:val="o"/>
      <w:lvlJc w:val="left"/>
      <w:pPr>
        <w:ind w:left="3600" w:hanging="360"/>
      </w:pPr>
      <w:rPr>
        <w:rFonts w:ascii="Courier New" w:hAnsi="Courier New" w:cs="Courier New" w:hint="default"/>
      </w:rPr>
    </w:lvl>
    <w:lvl w:ilvl="5" w:tplc="34DC6448" w:tentative="1">
      <w:start w:val="1"/>
      <w:numFmt w:val="bullet"/>
      <w:lvlText w:val=""/>
      <w:lvlJc w:val="left"/>
      <w:pPr>
        <w:ind w:left="4320" w:hanging="360"/>
      </w:pPr>
      <w:rPr>
        <w:rFonts w:ascii="Wingdings" w:hAnsi="Wingdings" w:hint="default"/>
      </w:rPr>
    </w:lvl>
    <w:lvl w:ilvl="6" w:tplc="A6689752" w:tentative="1">
      <w:start w:val="1"/>
      <w:numFmt w:val="bullet"/>
      <w:lvlText w:val=""/>
      <w:lvlJc w:val="left"/>
      <w:pPr>
        <w:ind w:left="5040" w:hanging="360"/>
      </w:pPr>
      <w:rPr>
        <w:rFonts w:ascii="Symbol" w:hAnsi="Symbol" w:hint="default"/>
      </w:rPr>
    </w:lvl>
    <w:lvl w:ilvl="7" w:tplc="A3CA0084" w:tentative="1">
      <w:start w:val="1"/>
      <w:numFmt w:val="bullet"/>
      <w:lvlText w:val="o"/>
      <w:lvlJc w:val="left"/>
      <w:pPr>
        <w:ind w:left="5760" w:hanging="360"/>
      </w:pPr>
      <w:rPr>
        <w:rFonts w:ascii="Courier New" w:hAnsi="Courier New" w:cs="Courier New" w:hint="default"/>
      </w:rPr>
    </w:lvl>
    <w:lvl w:ilvl="8" w:tplc="188AA7CE" w:tentative="1">
      <w:start w:val="1"/>
      <w:numFmt w:val="bullet"/>
      <w:lvlText w:val=""/>
      <w:lvlJc w:val="left"/>
      <w:pPr>
        <w:ind w:left="6480" w:hanging="360"/>
      </w:pPr>
      <w:rPr>
        <w:rFonts w:ascii="Wingdings" w:hAnsi="Wingdings" w:hint="default"/>
      </w:rPr>
    </w:lvl>
  </w:abstractNum>
  <w:abstractNum w:abstractNumId="3" w15:restartNumberingAfterBreak="0">
    <w:nsid w:val="51143A26"/>
    <w:multiLevelType w:val="hybridMultilevel"/>
    <w:tmpl w:val="EA4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55D51"/>
    <w:multiLevelType w:val="hybridMultilevel"/>
    <w:tmpl w:val="73F62C3A"/>
    <w:lvl w:ilvl="0" w:tplc="D396D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260A2"/>
    <w:multiLevelType w:val="hybridMultilevel"/>
    <w:tmpl w:val="7DEA186C"/>
    <w:lvl w:ilvl="0" w:tplc="27A0860E">
      <w:start w:val="1"/>
      <w:numFmt w:val="bullet"/>
      <w:lvlText w:val=""/>
      <w:lvlJc w:val="left"/>
      <w:pPr>
        <w:ind w:left="360" w:hanging="360"/>
      </w:pPr>
      <w:rPr>
        <w:rFonts w:ascii="Symbol" w:hAnsi="Symbol" w:hint="default"/>
      </w:rPr>
    </w:lvl>
    <w:lvl w:ilvl="1" w:tplc="4EF0BC3E">
      <w:numFmt w:val="bullet"/>
      <w:pStyle w:val="bullet2"/>
      <w:lvlText w:val="-"/>
      <w:lvlJc w:val="left"/>
      <w:pPr>
        <w:ind w:left="1080" w:hanging="360"/>
      </w:pPr>
      <w:rPr>
        <w:rFonts w:ascii="Calibri" w:eastAsiaTheme="minorHAnsi" w:hAnsi="Calibri" w:cstheme="minorBidi" w:hint="default"/>
      </w:rPr>
    </w:lvl>
    <w:lvl w:ilvl="2" w:tplc="40F8F5B4" w:tentative="1">
      <w:start w:val="1"/>
      <w:numFmt w:val="bullet"/>
      <w:lvlText w:val=""/>
      <w:lvlJc w:val="left"/>
      <w:pPr>
        <w:ind w:left="1800" w:hanging="360"/>
      </w:pPr>
      <w:rPr>
        <w:rFonts w:ascii="Wingdings" w:hAnsi="Wingdings" w:hint="default"/>
      </w:rPr>
    </w:lvl>
    <w:lvl w:ilvl="3" w:tplc="C38C8762" w:tentative="1">
      <w:start w:val="1"/>
      <w:numFmt w:val="bullet"/>
      <w:lvlText w:val=""/>
      <w:lvlJc w:val="left"/>
      <w:pPr>
        <w:ind w:left="2520" w:hanging="360"/>
      </w:pPr>
      <w:rPr>
        <w:rFonts w:ascii="Symbol" w:hAnsi="Symbol" w:hint="default"/>
      </w:rPr>
    </w:lvl>
    <w:lvl w:ilvl="4" w:tplc="30E67892" w:tentative="1">
      <w:start w:val="1"/>
      <w:numFmt w:val="bullet"/>
      <w:lvlText w:val="o"/>
      <w:lvlJc w:val="left"/>
      <w:pPr>
        <w:ind w:left="3240" w:hanging="360"/>
      </w:pPr>
      <w:rPr>
        <w:rFonts w:ascii="Courier New" w:hAnsi="Courier New" w:cs="Courier New" w:hint="default"/>
      </w:rPr>
    </w:lvl>
    <w:lvl w:ilvl="5" w:tplc="E4009198" w:tentative="1">
      <w:start w:val="1"/>
      <w:numFmt w:val="bullet"/>
      <w:lvlText w:val=""/>
      <w:lvlJc w:val="left"/>
      <w:pPr>
        <w:ind w:left="3960" w:hanging="360"/>
      </w:pPr>
      <w:rPr>
        <w:rFonts w:ascii="Wingdings" w:hAnsi="Wingdings" w:hint="default"/>
      </w:rPr>
    </w:lvl>
    <w:lvl w:ilvl="6" w:tplc="EBF25B6E" w:tentative="1">
      <w:start w:val="1"/>
      <w:numFmt w:val="bullet"/>
      <w:lvlText w:val=""/>
      <w:lvlJc w:val="left"/>
      <w:pPr>
        <w:ind w:left="4680" w:hanging="360"/>
      </w:pPr>
      <w:rPr>
        <w:rFonts w:ascii="Symbol" w:hAnsi="Symbol" w:hint="default"/>
      </w:rPr>
    </w:lvl>
    <w:lvl w:ilvl="7" w:tplc="263415D4" w:tentative="1">
      <w:start w:val="1"/>
      <w:numFmt w:val="bullet"/>
      <w:lvlText w:val="o"/>
      <w:lvlJc w:val="left"/>
      <w:pPr>
        <w:ind w:left="5400" w:hanging="360"/>
      </w:pPr>
      <w:rPr>
        <w:rFonts w:ascii="Courier New" w:hAnsi="Courier New" w:cs="Courier New" w:hint="default"/>
      </w:rPr>
    </w:lvl>
    <w:lvl w:ilvl="8" w:tplc="D840CE52" w:tentative="1">
      <w:start w:val="1"/>
      <w:numFmt w:val="bullet"/>
      <w:lvlText w:val=""/>
      <w:lvlJc w:val="left"/>
      <w:pPr>
        <w:ind w:left="6120" w:hanging="360"/>
      </w:pPr>
      <w:rPr>
        <w:rFonts w:ascii="Wingdings" w:hAnsi="Wingdings" w:hint="default"/>
      </w:rPr>
    </w:lvl>
  </w:abstractNum>
  <w:abstractNum w:abstractNumId="6" w15:restartNumberingAfterBreak="0">
    <w:nsid w:val="792A1ACA"/>
    <w:multiLevelType w:val="hybridMultilevel"/>
    <w:tmpl w:val="DB4444DE"/>
    <w:lvl w:ilvl="0" w:tplc="AD86688E">
      <w:start w:val="1"/>
      <w:numFmt w:val="decimal"/>
      <w:pStyle w:val="ListParagraph"/>
      <w:lvlText w:val="%1."/>
      <w:lvlJc w:val="left"/>
      <w:pPr>
        <w:ind w:left="360" w:hanging="360"/>
      </w:pPr>
    </w:lvl>
    <w:lvl w:ilvl="1" w:tplc="851296DA" w:tentative="1">
      <w:start w:val="1"/>
      <w:numFmt w:val="lowerLetter"/>
      <w:lvlText w:val="%2."/>
      <w:lvlJc w:val="left"/>
      <w:pPr>
        <w:ind w:left="1080" w:hanging="360"/>
      </w:pPr>
    </w:lvl>
    <w:lvl w:ilvl="2" w:tplc="B6D242D2" w:tentative="1">
      <w:start w:val="1"/>
      <w:numFmt w:val="lowerRoman"/>
      <w:lvlText w:val="%3."/>
      <w:lvlJc w:val="right"/>
      <w:pPr>
        <w:ind w:left="1800" w:hanging="180"/>
      </w:pPr>
    </w:lvl>
    <w:lvl w:ilvl="3" w:tplc="F4F60648" w:tentative="1">
      <w:start w:val="1"/>
      <w:numFmt w:val="decimal"/>
      <w:lvlText w:val="%4."/>
      <w:lvlJc w:val="left"/>
      <w:pPr>
        <w:ind w:left="2520" w:hanging="360"/>
      </w:pPr>
    </w:lvl>
    <w:lvl w:ilvl="4" w:tplc="5372CD7A" w:tentative="1">
      <w:start w:val="1"/>
      <w:numFmt w:val="lowerLetter"/>
      <w:lvlText w:val="%5."/>
      <w:lvlJc w:val="left"/>
      <w:pPr>
        <w:ind w:left="3240" w:hanging="360"/>
      </w:pPr>
    </w:lvl>
    <w:lvl w:ilvl="5" w:tplc="708C0E2E" w:tentative="1">
      <w:start w:val="1"/>
      <w:numFmt w:val="lowerRoman"/>
      <w:lvlText w:val="%6."/>
      <w:lvlJc w:val="right"/>
      <w:pPr>
        <w:ind w:left="3960" w:hanging="180"/>
      </w:pPr>
    </w:lvl>
    <w:lvl w:ilvl="6" w:tplc="7506FE82" w:tentative="1">
      <w:start w:val="1"/>
      <w:numFmt w:val="decimal"/>
      <w:lvlText w:val="%7."/>
      <w:lvlJc w:val="left"/>
      <w:pPr>
        <w:ind w:left="4680" w:hanging="360"/>
      </w:pPr>
    </w:lvl>
    <w:lvl w:ilvl="7" w:tplc="74CC27F2" w:tentative="1">
      <w:start w:val="1"/>
      <w:numFmt w:val="lowerLetter"/>
      <w:lvlText w:val="%8."/>
      <w:lvlJc w:val="left"/>
      <w:pPr>
        <w:ind w:left="5400" w:hanging="360"/>
      </w:pPr>
    </w:lvl>
    <w:lvl w:ilvl="8" w:tplc="C4743B20" w:tentative="1">
      <w:start w:val="1"/>
      <w:numFmt w:val="lowerRoman"/>
      <w:lvlText w:val="%9."/>
      <w:lvlJc w:val="right"/>
      <w:pPr>
        <w:ind w:left="6120" w:hanging="180"/>
      </w:pPr>
    </w:lvl>
  </w:abstractNum>
  <w:num w:numId="1" w16cid:durableId="1114591295">
    <w:abstractNumId w:val="2"/>
  </w:num>
  <w:num w:numId="2" w16cid:durableId="352078888">
    <w:abstractNumId w:val="5"/>
  </w:num>
  <w:num w:numId="3" w16cid:durableId="267392373">
    <w:abstractNumId w:val="6"/>
  </w:num>
  <w:num w:numId="4" w16cid:durableId="605425452">
    <w:abstractNumId w:val="0"/>
  </w:num>
  <w:num w:numId="5" w16cid:durableId="803931866">
    <w:abstractNumId w:val="1"/>
  </w:num>
  <w:num w:numId="6" w16cid:durableId="1218206217">
    <w:abstractNumId w:val="3"/>
  </w:num>
  <w:num w:numId="7" w16cid:durableId="114362459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6F90"/>
    <w:rsid w:val="0001197D"/>
    <w:rsid w:val="00012CF6"/>
    <w:rsid w:val="00013B08"/>
    <w:rsid w:val="000142E8"/>
    <w:rsid w:val="00014B3C"/>
    <w:rsid w:val="00014D01"/>
    <w:rsid w:val="00024D99"/>
    <w:rsid w:val="00025AF8"/>
    <w:rsid w:val="00026A2A"/>
    <w:rsid w:val="000278F5"/>
    <w:rsid w:val="00032AA5"/>
    <w:rsid w:val="00032F45"/>
    <w:rsid w:val="00034F01"/>
    <w:rsid w:val="00036CE6"/>
    <w:rsid w:val="00037745"/>
    <w:rsid w:val="000401E8"/>
    <w:rsid w:val="0004131A"/>
    <w:rsid w:val="0004614C"/>
    <w:rsid w:val="00046544"/>
    <w:rsid w:val="0004780F"/>
    <w:rsid w:val="00047828"/>
    <w:rsid w:val="000502C4"/>
    <w:rsid w:val="00050F15"/>
    <w:rsid w:val="00052B6B"/>
    <w:rsid w:val="00054202"/>
    <w:rsid w:val="00060862"/>
    <w:rsid w:val="0006199E"/>
    <w:rsid w:val="0006686B"/>
    <w:rsid w:val="00070E93"/>
    <w:rsid w:val="000724A1"/>
    <w:rsid w:val="00072F9B"/>
    <w:rsid w:val="00082705"/>
    <w:rsid w:val="0008350A"/>
    <w:rsid w:val="00085423"/>
    <w:rsid w:val="00085BFB"/>
    <w:rsid w:val="0009129E"/>
    <w:rsid w:val="00092828"/>
    <w:rsid w:val="00094A36"/>
    <w:rsid w:val="00094DEA"/>
    <w:rsid w:val="000960F5"/>
    <w:rsid w:val="00097052"/>
    <w:rsid w:val="000A1691"/>
    <w:rsid w:val="000A2EE2"/>
    <w:rsid w:val="000A4EE0"/>
    <w:rsid w:val="000A5E9B"/>
    <w:rsid w:val="000A6360"/>
    <w:rsid w:val="000B7797"/>
    <w:rsid w:val="000B7CB2"/>
    <w:rsid w:val="000C48E0"/>
    <w:rsid w:val="000C598C"/>
    <w:rsid w:val="000C5A0A"/>
    <w:rsid w:val="000D2A5C"/>
    <w:rsid w:val="000D327F"/>
    <w:rsid w:val="000D5F30"/>
    <w:rsid w:val="000D7A21"/>
    <w:rsid w:val="000E1238"/>
    <w:rsid w:val="000E361D"/>
    <w:rsid w:val="000E47AD"/>
    <w:rsid w:val="000E6092"/>
    <w:rsid w:val="000E6238"/>
    <w:rsid w:val="000F0BA8"/>
    <w:rsid w:val="000F37D5"/>
    <w:rsid w:val="000F7CE4"/>
    <w:rsid w:val="001000D6"/>
    <w:rsid w:val="001019D9"/>
    <w:rsid w:val="00102D54"/>
    <w:rsid w:val="00103289"/>
    <w:rsid w:val="001058EE"/>
    <w:rsid w:val="0013090E"/>
    <w:rsid w:val="001430C7"/>
    <w:rsid w:val="00144F6A"/>
    <w:rsid w:val="001450E9"/>
    <w:rsid w:val="001478D6"/>
    <w:rsid w:val="00152837"/>
    <w:rsid w:val="00154B3F"/>
    <w:rsid w:val="001572E0"/>
    <w:rsid w:val="00157303"/>
    <w:rsid w:val="00162E4E"/>
    <w:rsid w:val="0016436A"/>
    <w:rsid w:val="001665A8"/>
    <w:rsid w:val="00166A18"/>
    <w:rsid w:val="0016727F"/>
    <w:rsid w:val="00170F51"/>
    <w:rsid w:val="00172139"/>
    <w:rsid w:val="00176EBC"/>
    <w:rsid w:val="00177CDD"/>
    <w:rsid w:val="00180F8E"/>
    <w:rsid w:val="00181756"/>
    <w:rsid w:val="00182E1E"/>
    <w:rsid w:val="00186FB7"/>
    <w:rsid w:val="001875C9"/>
    <w:rsid w:val="001903B5"/>
    <w:rsid w:val="00190E10"/>
    <w:rsid w:val="001943AE"/>
    <w:rsid w:val="00194951"/>
    <w:rsid w:val="001958A1"/>
    <w:rsid w:val="00195A52"/>
    <w:rsid w:val="0019625A"/>
    <w:rsid w:val="001B1308"/>
    <w:rsid w:val="001B29E3"/>
    <w:rsid w:val="001B6330"/>
    <w:rsid w:val="001B661E"/>
    <w:rsid w:val="001C1266"/>
    <w:rsid w:val="001C682F"/>
    <w:rsid w:val="001C75E0"/>
    <w:rsid w:val="001C7C2F"/>
    <w:rsid w:val="001D3AFD"/>
    <w:rsid w:val="001D4667"/>
    <w:rsid w:val="001E0ECE"/>
    <w:rsid w:val="001E3775"/>
    <w:rsid w:val="001E5583"/>
    <w:rsid w:val="001E5F34"/>
    <w:rsid w:val="001F021B"/>
    <w:rsid w:val="001F094B"/>
    <w:rsid w:val="001F176E"/>
    <w:rsid w:val="001F4255"/>
    <w:rsid w:val="0020208F"/>
    <w:rsid w:val="0020386E"/>
    <w:rsid w:val="002076F5"/>
    <w:rsid w:val="00207B1D"/>
    <w:rsid w:val="00212B3A"/>
    <w:rsid w:val="00212B6D"/>
    <w:rsid w:val="00220612"/>
    <w:rsid w:val="002222D5"/>
    <w:rsid w:val="00225118"/>
    <w:rsid w:val="00225D01"/>
    <w:rsid w:val="00226726"/>
    <w:rsid w:val="00227A15"/>
    <w:rsid w:val="002330C9"/>
    <w:rsid w:val="00233E22"/>
    <w:rsid w:val="00235E10"/>
    <w:rsid w:val="00236765"/>
    <w:rsid w:val="00236EAF"/>
    <w:rsid w:val="00236F61"/>
    <w:rsid w:val="00241B53"/>
    <w:rsid w:val="00246D8D"/>
    <w:rsid w:val="00250481"/>
    <w:rsid w:val="002521D3"/>
    <w:rsid w:val="00252460"/>
    <w:rsid w:val="00253DCA"/>
    <w:rsid w:val="002542EB"/>
    <w:rsid w:val="00260D0B"/>
    <w:rsid w:val="002618A7"/>
    <w:rsid w:val="00262E46"/>
    <w:rsid w:val="00267905"/>
    <w:rsid w:val="00270195"/>
    <w:rsid w:val="002701D8"/>
    <w:rsid w:val="00270EEC"/>
    <w:rsid w:val="00274A0A"/>
    <w:rsid w:val="00276262"/>
    <w:rsid w:val="002778BB"/>
    <w:rsid w:val="00277C6B"/>
    <w:rsid w:val="00283A50"/>
    <w:rsid w:val="00284DDD"/>
    <w:rsid w:val="00286D25"/>
    <w:rsid w:val="002877CB"/>
    <w:rsid w:val="00292319"/>
    <w:rsid w:val="002931EF"/>
    <w:rsid w:val="0029356D"/>
    <w:rsid w:val="00294C06"/>
    <w:rsid w:val="002A55E2"/>
    <w:rsid w:val="002A580E"/>
    <w:rsid w:val="002A6716"/>
    <w:rsid w:val="002B08A9"/>
    <w:rsid w:val="002B34E2"/>
    <w:rsid w:val="002B3756"/>
    <w:rsid w:val="002B5852"/>
    <w:rsid w:val="002B7929"/>
    <w:rsid w:val="002C1418"/>
    <w:rsid w:val="002C455C"/>
    <w:rsid w:val="002C6CF0"/>
    <w:rsid w:val="002C6E61"/>
    <w:rsid w:val="002D0CDA"/>
    <w:rsid w:val="002D25EA"/>
    <w:rsid w:val="002D288D"/>
    <w:rsid w:val="002D43FA"/>
    <w:rsid w:val="002E4322"/>
    <w:rsid w:val="002E4BFA"/>
    <w:rsid w:val="002F2072"/>
    <w:rsid w:val="002F3301"/>
    <w:rsid w:val="002F361D"/>
    <w:rsid w:val="002F4744"/>
    <w:rsid w:val="002F77D1"/>
    <w:rsid w:val="00301E8E"/>
    <w:rsid w:val="003072EB"/>
    <w:rsid w:val="00311E09"/>
    <w:rsid w:val="00313EEE"/>
    <w:rsid w:val="0031740E"/>
    <w:rsid w:val="00317CD6"/>
    <w:rsid w:val="003201CA"/>
    <w:rsid w:val="00321C35"/>
    <w:rsid w:val="003222AD"/>
    <w:rsid w:val="00323473"/>
    <w:rsid w:val="00324C2F"/>
    <w:rsid w:val="00324EAE"/>
    <w:rsid w:val="003274F5"/>
    <w:rsid w:val="003309D3"/>
    <w:rsid w:val="00330D4F"/>
    <w:rsid w:val="00332013"/>
    <w:rsid w:val="0033241F"/>
    <w:rsid w:val="00336DBB"/>
    <w:rsid w:val="00340282"/>
    <w:rsid w:val="003410D1"/>
    <w:rsid w:val="0034362C"/>
    <w:rsid w:val="00343708"/>
    <w:rsid w:val="003438AD"/>
    <w:rsid w:val="00343B2C"/>
    <w:rsid w:val="00344DE1"/>
    <w:rsid w:val="00353DBF"/>
    <w:rsid w:val="00357B11"/>
    <w:rsid w:val="003619C0"/>
    <w:rsid w:val="00364DF0"/>
    <w:rsid w:val="003658EB"/>
    <w:rsid w:val="00366876"/>
    <w:rsid w:val="00370A2C"/>
    <w:rsid w:val="00373E8B"/>
    <w:rsid w:val="00376001"/>
    <w:rsid w:val="00376516"/>
    <w:rsid w:val="00382BB1"/>
    <w:rsid w:val="00384964"/>
    <w:rsid w:val="003865F3"/>
    <w:rsid w:val="00390780"/>
    <w:rsid w:val="00395E91"/>
    <w:rsid w:val="003A07A6"/>
    <w:rsid w:val="003A23D1"/>
    <w:rsid w:val="003A293D"/>
    <w:rsid w:val="003A4CA5"/>
    <w:rsid w:val="003B535E"/>
    <w:rsid w:val="003C7A06"/>
    <w:rsid w:val="003D207A"/>
    <w:rsid w:val="003D54BE"/>
    <w:rsid w:val="003D709D"/>
    <w:rsid w:val="003E36E0"/>
    <w:rsid w:val="003E38A7"/>
    <w:rsid w:val="003E570E"/>
    <w:rsid w:val="003E6D51"/>
    <w:rsid w:val="003F0986"/>
    <w:rsid w:val="003F3C6C"/>
    <w:rsid w:val="003F5F64"/>
    <w:rsid w:val="003F7058"/>
    <w:rsid w:val="00400332"/>
    <w:rsid w:val="0040037A"/>
    <w:rsid w:val="004076CD"/>
    <w:rsid w:val="00410AC1"/>
    <w:rsid w:val="00410C84"/>
    <w:rsid w:val="00410E02"/>
    <w:rsid w:val="00412B80"/>
    <w:rsid w:val="004132FD"/>
    <w:rsid w:val="00416080"/>
    <w:rsid w:val="00416116"/>
    <w:rsid w:val="00424531"/>
    <w:rsid w:val="004246F4"/>
    <w:rsid w:val="00430525"/>
    <w:rsid w:val="00430826"/>
    <w:rsid w:val="0043337E"/>
    <w:rsid w:val="00434B29"/>
    <w:rsid w:val="004357AF"/>
    <w:rsid w:val="00442CB8"/>
    <w:rsid w:val="0044564D"/>
    <w:rsid w:val="00446364"/>
    <w:rsid w:val="00451407"/>
    <w:rsid w:val="004526E6"/>
    <w:rsid w:val="004529F6"/>
    <w:rsid w:val="00452EA0"/>
    <w:rsid w:val="00455CAD"/>
    <w:rsid w:val="004632AE"/>
    <w:rsid w:val="004720B3"/>
    <w:rsid w:val="00480329"/>
    <w:rsid w:val="00480B7B"/>
    <w:rsid w:val="004851E1"/>
    <w:rsid w:val="00495246"/>
    <w:rsid w:val="004A02B8"/>
    <w:rsid w:val="004A0466"/>
    <w:rsid w:val="004A176B"/>
    <w:rsid w:val="004A32B7"/>
    <w:rsid w:val="004A3F49"/>
    <w:rsid w:val="004A4491"/>
    <w:rsid w:val="004A5B3E"/>
    <w:rsid w:val="004C1C7E"/>
    <w:rsid w:val="004C32D8"/>
    <w:rsid w:val="004C7C01"/>
    <w:rsid w:val="004D2C1D"/>
    <w:rsid w:val="004D2FE2"/>
    <w:rsid w:val="004D4968"/>
    <w:rsid w:val="004D4B12"/>
    <w:rsid w:val="004D4C15"/>
    <w:rsid w:val="004D7DA9"/>
    <w:rsid w:val="004E1163"/>
    <w:rsid w:val="004E450E"/>
    <w:rsid w:val="004E7A7D"/>
    <w:rsid w:val="004F276F"/>
    <w:rsid w:val="004F29BE"/>
    <w:rsid w:val="004F7F7D"/>
    <w:rsid w:val="005050EC"/>
    <w:rsid w:val="00505F0D"/>
    <w:rsid w:val="00515E4E"/>
    <w:rsid w:val="00516824"/>
    <w:rsid w:val="00516C43"/>
    <w:rsid w:val="00521A94"/>
    <w:rsid w:val="00530FEE"/>
    <w:rsid w:val="00532F54"/>
    <w:rsid w:val="005331AE"/>
    <w:rsid w:val="005332AD"/>
    <w:rsid w:val="00533FFC"/>
    <w:rsid w:val="005366D5"/>
    <w:rsid w:val="00537D31"/>
    <w:rsid w:val="00540B3F"/>
    <w:rsid w:val="00543D5C"/>
    <w:rsid w:val="00546705"/>
    <w:rsid w:val="005467B0"/>
    <w:rsid w:val="00547533"/>
    <w:rsid w:val="0054797C"/>
    <w:rsid w:val="00550F65"/>
    <w:rsid w:val="00562C06"/>
    <w:rsid w:val="00562DFC"/>
    <w:rsid w:val="00565E95"/>
    <w:rsid w:val="005704D5"/>
    <w:rsid w:val="00574647"/>
    <w:rsid w:val="00574A7C"/>
    <w:rsid w:val="00575697"/>
    <w:rsid w:val="0057662D"/>
    <w:rsid w:val="00580209"/>
    <w:rsid w:val="00580ABF"/>
    <w:rsid w:val="00582FB0"/>
    <w:rsid w:val="00585369"/>
    <w:rsid w:val="00585E86"/>
    <w:rsid w:val="005933FA"/>
    <w:rsid w:val="0059627B"/>
    <w:rsid w:val="00597704"/>
    <w:rsid w:val="00597E4A"/>
    <w:rsid w:val="005A611A"/>
    <w:rsid w:val="005A79FE"/>
    <w:rsid w:val="005B0963"/>
    <w:rsid w:val="005B6DA0"/>
    <w:rsid w:val="005D17D9"/>
    <w:rsid w:val="005D2908"/>
    <w:rsid w:val="005E0949"/>
    <w:rsid w:val="005E7831"/>
    <w:rsid w:val="005E7E9E"/>
    <w:rsid w:val="005F5362"/>
    <w:rsid w:val="005F6237"/>
    <w:rsid w:val="005F754F"/>
    <w:rsid w:val="0060132E"/>
    <w:rsid w:val="00610851"/>
    <w:rsid w:val="006127CF"/>
    <w:rsid w:val="0061325C"/>
    <w:rsid w:val="00614002"/>
    <w:rsid w:val="00614601"/>
    <w:rsid w:val="00614E45"/>
    <w:rsid w:val="00615D0F"/>
    <w:rsid w:val="00620C7C"/>
    <w:rsid w:val="006215FA"/>
    <w:rsid w:val="00622BA9"/>
    <w:rsid w:val="00622FA3"/>
    <w:rsid w:val="00622FDE"/>
    <w:rsid w:val="00626F56"/>
    <w:rsid w:val="0063004D"/>
    <w:rsid w:val="006322CD"/>
    <w:rsid w:val="006329F3"/>
    <w:rsid w:val="00633B3B"/>
    <w:rsid w:val="00645252"/>
    <w:rsid w:val="00647CDF"/>
    <w:rsid w:val="006508BD"/>
    <w:rsid w:val="006514AA"/>
    <w:rsid w:val="0065265D"/>
    <w:rsid w:val="00652AD1"/>
    <w:rsid w:val="00653CF5"/>
    <w:rsid w:val="00662785"/>
    <w:rsid w:val="00662F4E"/>
    <w:rsid w:val="00663EC1"/>
    <w:rsid w:val="006672D3"/>
    <w:rsid w:val="0067259B"/>
    <w:rsid w:val="006733BA"/>
    <w:rsid w:val="0068122F"/>
    <w:rsid w:val="00686A44"/>
    <w:rsid w:val="006946C2"/>
    <w:rsid w:val="006A335E"/>
    <w:rsid w:val="006A5E17"/>
    <w:rsid w:val="006A644B"/>
    <w:rsid w:val="006B0058"/>
    <w:rsid w:val="006B1176"/>
    <w:rsid w:val="006B296C"/>
    <w:rsid w:val="006C0BFA"/>
    <w:rsid w:val="006C4C13"/>
    <w:rsid w:val="006C4D30"/>
    <w:rsid w:val="006C5612"/>
    <w:rsid w:val="006C62F4"/>
    <w:rsid w:val="006D30B5"/>
    <w:rsid w:val="006D3D74"/>
    <w:rsid w:val="006D3DF3"/>
    <w:rsid w:val="006D4014"/>
    <w:rsid w:val="006D6ECC"/>
    <w:rsid w:val="006D73FC"/>
    <w:rsid w:val="006E053C"/>
    <w:rsid w:val="006E2878"/>
    <w:rsid w:val="006E4E28"/>
    <w:rsid w:val="006E5FFC"/>
    <w:rsid w:val="006F165C"/>
    <w:rsid w:val="006F182A"/>
    <w:rsid w:val="006F18BF"/>
    <w:rsid w:val="006F2413"/>
    <w:rsid w:val="006F2E51"/>
    <w:rsid w:val="006F373F"/>
    <w:rsid w:val="006F7247"/>
    <w:rsid w:val="0070166E"/>
    <w:rsid w:val="00703EA3"/>
    <w:rsid w:val="007051A3"/>
    <w:rsid w:val="007051B6"/>
    <w:rsid w:val="00705CAE"/>
    <w:rsid w:val="007077FB"/>
    <w:rsid w:val="007105AD"/>
    <w:rsid w:val="0071332A"/>
    <w:rsid w:val="00716D81"/>
    <w:rsid w:val="00717482"/>
    <w:rsid w:val="00720112"/>
    <w:rsid w:val="00720D3E"/>
    <w:rsid w:val="00732991"/>
    <w:rsid w:val="00735F1A"/>
    <w:rsid w:val="00737191"/>
    <w:rsid w:val="0073728B"/>
    <w:rsid w:val="00741985"/>
    <w:rsid w:val="00741B82"/>
    <w:rsid w:val="0074222C"/>
    <w:rsid w:val="00742A9D"/>
    <w:rsid w:val="007501B4"/>
    <w:rsid w:val="00752D09"/>
    <w:rsid w:val="00753D09"/>
    <w:rsid w:val="007611D7"/>
    <w:rsid w:val="007637AC"/>
    <w:rsid w:val="00765CA5"/>
    <w:rsid w:val="00771EAA"/>
    <w:rsid w:val="0077332A"/>
    <w:rsid w:val="0077740E"/>
    <w:rsid w:val="0077788C"/>
    <w:rsid w:val="00784C85"/>
    <w:rsid w:val="00784E73"/>
    <w:rsid w:val="00785FEC"/>
    <w:rsid w:val="0078600F"/>
    <w:rsid w:val="007871B3"/>
    <w:rsid w:val="00792EA5"/>
    <w:rsid w:val="007A306E"/>
    <w:rsid w:val="007A31D7"/>
    <w:rsid w:val="007A3508"/>
    <w:rsid w:val="007A45F3"/>
    <w:rsid w:val="007A4AB2"/>
    <w:rsid w:val="007A6A2A"/>
    <w:rsid w:val="007A7803"/>
    <w:rsid w:val="007B00FF"/>
    <w:rsid w:val="007B3987"/>
    <w:rsid w:val="007B431A"/>
    <w:rsid w:val="007B76E0"/>
    <w:rsid w:val="007C00B4"/>
    <w:rsid w:val="007C2593"/>
    <w:rsid w:val="007C3554"/>
    <w:rsid w:val="007C44C6"/>
    <w:rsid w:val="007C7612"/>
    <w:rsid w:val="007E0AD5"/>
    <w:rsid w:val="007F08ED"/>
    <w:rsid w:val="007F32E4"/>
    <w:rsid w:val="007F4277"/>
    <w:rsid w:val="00800821"/>
    <w:rsid w:val="00800ACE"/>
    <w:rsid w:val="008014D7"/>
    <w:rsid w:val="008017A9"/>
    <w:rsid w:val="008068B0"/>
    <w:rsid w:val="0081180D"/>
    <w:rsid w:val="008132AB"/>
    <w:rsid w:val="00814123"/>
    <w:rsid w:val="00814D19"/>
    <w:rsid w:val="008179AA"/>
    <w:rsid w:val="00817AF2"/>
    <w:rsid w:val="00825F31"/>
    <w:rsid w:val="00830023"/>
    <w:rsid w:val="008353BC"/>
    <w:rsid w:val="008378E5"/>
    <w:rsid w:val="0084159F"/>
    <w:rsid w:val="008438D4"/>
    <w:rsid w:val="00844CC3"/>
    <w:rsid w:val="00850FB9"/>
    <w:rsid w:val="00851C1A"/>
    <w:rsid w:val="00853EF4"/>
    <w:rsid w:val="00856CDF"/>
    <w:rsid w:val="00856F6D"/>
    <w:rsid w:val="008655AE"/>
    <w:rsid w:val="0086707C"/>
    <w:rsid w:val="008707DC"/>
    <w:rsid w:val="00870AAC"/>
    <w:rsid w:val="00870AEA"/>
    <w:rsid w:val="00870CCB"/>
    <w:rsid w:val="00875E33"/>
    <w:rsid w:val="0087728D"/>
    <w:rsid w:val="00880BC5"/>
    <w:rsid w:val="00883548"/>
    <w:rsid w:val="00885523"/>
    <w:rsid w:val="0088650D"/>
    <w:rsid w:val="00892E07"/>
    <w:rsid w:val="00897E5D"/>
    <w:rsid w:val="008A062C"/>
    <w:rsid w:val="008A272D"/>
    <w:rsid w:val="008A48E8"/>
    <w:rsid w:val="008A64B3"/>
    <w:rsid w:val="008B50D5"/>
    <w:rsid w:val="008C1324"/>
    <w:rsid w:val="008C238A"/>
    <w:rsid w:val="008C4FFE"/>
    <w:rsid w:val="008D04FE"/>
    <w:rsid w:val="008D154F"/>
    <w:rsid w:val="008D283E"/>
    <w:rsid w:val="008D2EDD"/>
    <w:rsid w:val="008D3DA2"/>
    <w:rsid w:val="008D4D89"/>
    <w:rsid w:val="008D5DF5"/>
    <w:rsid w:val="008D69AB"/>
    <w:rsid w:val="008E19DD"/>
    <w:rsid w:val="008E1F47"/>
    <w:rsid w:val="008E2790"/>
    <w:rsid w:val="008E4183"/>
    <w:rsid w:val="008F5376"/>
    <w:rsid w:val="008F6F3F"/>
    <w:rsid w:val="00900C0B"/>
    <w:rsid w:val="009016FC"/>
    <w:rsid w:val="00902929"/>
    <w:rsid w:val="00902F6A"/>
    <w:rsid w:val="0090468F"/>
    <w:rsid w:val="0090620C"/>
    <w:rsid w:val="00915697"/>
    <w:rsid w:val="00915F3F"/>
    <w:rsid w:val="00921068"/>
    <w:rsid w:val="00921E0D"/>
    <w:rsid w:val="00922E88"/>
    <w:rsid w:val="0092453F"/>
    <w:rsid w:val="009306B5"/>
    <w:rsid w:val="00931372"/>
    <w:rsid w:val="00934A0C"/>
    <w:rsid w:val="00935E55"/>
    <w:rsid w:val="0093630A"/>
    <w:rsid w:val="0093741E"/>
    <w:rsid w:val="00940743"/>
    <w:rsid w:val="00942365"/>
    <w:rsid w:val="009429F0"/>
    <w:rsid w:val="00943578"/>
    <w:rsid w:val="00945A10"/>
    <w:rsid w:val="00947108"/>
    <w:rsid w:val="00955CAD"/>
    <w:rsid w:val="00955EA3"/>
    <w:rsid w:val="0095673D"/>
    <w:rsid w:val="0096190D"/>
    <w:rsid w:val="0096214C"/>
    <w:rsid w:val="009622B6"/>
    <w:rsid w:val="00962650"/>
    <w:rsid w:val="00962D68"/>
    <w:rsid w:val="00963700"/>
    <w:rsid w:val="00963A84"/>
    <w:rsid w:val="00965F47"/>
    <w:rsid w:val="00966D49"/>
    <w:rsid w:val="0097268F"/>
    <w:rsid w:val="00974D5A"/>
    <w:rsid w:val="009756A6"/>
    <w:rsid w:val="00975C9B"/>
    <w:rsid w:val="00977A62"/>
    <w:rsid w:val="0098081D"/>
    <w:rsid w:val="00984525"/>
    <w:rsid w:val="00985ECC"/>
    <w:rsid w:val="00990930"/>
    <w:rsid w:val="00991658"/>
    <w:rsid w:val="00994515"/>
    <w:rsid w:val="009A2553"/>
    <w:rsid w:val="009A70BB"/>
    <w:rsid w:val="009B09A9"/>
    <w:rsid w:val="009B2028"/>
    <w:rsid w:val="009B7A65"/>
    <w:rsid w:val="009C065C"/>
    <w:rsid w:val="009C33F2"/>
    <w:rsid w:val="009C3735"/>
    <w:rsid w:val="009C50AD"/>
    <w:rsid w:val="009D21C2"/>
    <w:rsid w:val="009E3A37"/>
    <w:rsid w:val="009E7830"/>
    <w:rsid w:val="009F43F5"/>
    <w:rsid w:val="009F5201"/>
    <w:rsid w:val="009F6148"/>
    <w:rsid w:val="00A0136C"/>
    <w:rsid w:val="00A01EB5"/>
    <w:rsid w:val="00A0256F"/>
    <w:rsid w:val="00A0444A"/>
    <w:rsid w:val="00A070CB"/>
    <w:rsid w:val="00A1084B"/>
    <w:rsid w:val="00A11480"/>
    <w:rsid w:val="00A12CF1"/>
    <w:rsid w:val="00A143FE"/>
    <w:rsid w:val="00A14C97"/>
    <w:rsid w:val="00A2027F"/>
    <w:rsid w:val="00A278E2"/>
    <w:rsid w:val="00A31F10"/>
    <w:rsid w:val="00A3353D"/>
    <w:rsid w:val="00A342EE"/>
    <w:rsid w:val="00A37E12"/>
    <w:rsid w:val="00A37F73"/>
    <w:rsid w:val="00A40250"/>
    <w:rsid w:val="00A42726"/>
    <w:rsid w:val="00A44EDA"/>
    <w:rsid w:val="00A50ED2"/>
    <w:rsid w:val="00A573E4"/>
    <w:rsid w:val="00A62513"/>
    <w:rsid w:val="00A6580E"/>
    <w:rsid w:val="00A67620"/>
    <w:rsid w:val="00A70656"/>
    <w:rsid w:val="00A71328"/>
    <w:rsid w:val="00A76CD6"/>
    <w:rsid w:val="00A76D66"/>
    <w:rsid w:val="00A76FC6"/>
    <w:rsid w:val="00A77141"/>
    <w:rsid w:val="00A83CE1"/>
    <w:rsid w:val="00A84274"/>
    <w:rsid w:val="00A9084F"/>
    <w:rsid w:val="00A9204E"/>
    <w:rsid w:val="00A932FE"/>
    <w:rsid w:val="00A946A9"/>
    <w:rsid w:val="00A9690D"/>
    <w:rsid w:val="00AA471C"/>
    <w:rsid w:val="00AA73A4"/>
    <w:rsid w:val="00AB5022"/>
    <w:rsid w:val="00AB5F45"/>
    <w:rsid w:val="00AC413E"/>
    <w:rsid w:val="00AC6F1A"/>
    <w:rsid w:val="00AC7D65"/>
    <w:rsid w:val="00AC7FDF"/>
    <w:rsid w:val="00AD09F9"/>
    <w:rsid w:val="00AD0FEF"/>
    <w:rsid w:val="00AD271E"/>
    <w:rsid w:val="00AD5CDA"/>
    <w:rsid w:val="00AD6B6C"/>
    <w:rsid w:val="00AE2493"/>
    <w:rsid w:val="00AE5E55"/>
    <w:rsid w:val="00AE6569"/>
    <w:rsid w:val="00AF3399"/>
    <w:rsid w:val="00AF51EA"/>
    <w:rsid w:val="00B017C6"/>
    <w:rsid w:val="00B04A5E"/>
    <w:rsid w:val="00B05DF8"/>
    <w:rsid w:val="00B0620E"/>
    <w:rsid w:val="00B15AFA"/>
    <w:rsid w:val="00B200A0"/>
    <w:rsid w:val="00B23173"/>
    <w:rsid w:val="00B23A3C"/>
    <w:rsid w:val="00B24D3B"/>
    <w:rsid w:val="00B3090C"/>
    <w:rsid w:val="00B30B87"/>
    <w:rsid w:val="00B30FA2"/>
    <w:rsid w:val="00B421DB"/>
    <w:rsid w:val="00B42784"/>
    <w:rsid w:val="00B42A67"/>
    <w:rsid w:val="00B42B06"/>
    <w:rsid w:val="00B44472"/>
    <w:rsid w:val="00B45F10"/>
    <w:rsid w:val="00B473B8"/>
    <w:rsid w:val="00B47B4A"/>
    <w:rsid w:val="00B47C12"/>
    <w:rsid w:val="00B5285C"/>
    <w:rsid w:val="00B52E44"/>
    <w:rsid w:val="00B54613"/>
    <w:rsid w:val="00B575A3"/>
    <w:rsid w:val="00B62202"/>
    <w:rsid w:val="00B6295E"/>
    <w:rsid w:val="00B63792"/>
    <w:rsid w:val="00B65518"/>
    <w:rsid w:val="00B6692F"/>
    <w:rsid w:val="00B66A25"/>
    <w:rsid w:val="00B67CDF"/>
    <w:rsid w:val="00B709B4"/>
    <w:rsid w:val="00B71CB0"/>
    <w:rsid w:val="00B7372C"/>
    <w:rsid w:val="00B7373F"/>
    <w:rsid w:val="00B73EBC"/>
    <w:rsid w:val="00B75A71"/>
    <w:rsid w:val="00B76875"/>
    <w:rsid w:val="00B865CE"/>
    <w:rsid w:val="00B869EB"/>
    <w:rsid w:val="00B876F2"/>
    <w:rsid w:val="00B91C9C"/>
    <w:rsid w:val="00B936F6"/>
    <w:rsid w:val="00B9488D"/>
    <w:rsid w:val="00BA2201"/>
    <w:rsid w:val="00BA3A8E"/>
    <w:rsid w:val="00BA3B89"/>
    <w:rsid w:val="00BA4FB8"/>
    <w:rsid w:val="00BA79D0"/>
    <w:rsid w:val="00BB0B8D"/>
    <w:rsid w:val="00BB3028"/>
    <w:rsid w:val="00BB3172"/>
    <w:rsid w:val="00BB5289"/>
    <w:rsid w:val="00BB5635"/>
    <w:rsid w:val="00BB5B29"/>
    <w:rsid w:val="00BC0832"/>
    <w:rsid w:val="00BC2910"/>
    <w:rsid w:val="00BC35CE"/>
    <w:rsid w:val="00BC4634"/>
    <w:rsid w:val="00BC4651"/>
    <w:rsid w:val="00BC4F25"/>
    <w:rsid w:val="00BD0597"/>
    <w:rsid w:val="00BD11FF"/>
    <w:rsid w:val="00BD1406"/>
    <w:rsid w:val="00BD44C6"/>
    <w:rsid w:val="00BE6268"/>
    <w:rsid w:val="00BF07CE"/>
    <w:rsid w:val="00BF126B"/>
    <w:rsid w:val="00BF2712"/>
    <w:rsid w:val="00BF4CCD"/>
    <w:rsid w:val="00BF77FE"/>
    <w:rsid w:val="00BF7AA6"/>
    <w:rsid w:val="00C01D4A"/>
    <w:rsid w:val="00C03033"/>
    <w:rsid w:val="00C030FC"/>
    <w:rsid w:val="00C0418A"/>
    <w:rsid w:val="00C200E2"/>
    <w:rsid w:val="00C20129"/>
    <w:rsid w:val="00C26459"/>
    <w:rsid w:val="00C313A6"/>
    <w:rsid w:val="00C31931"/>
    <w:rsid w:val="00C33272"/>
    <w:rsid w:val="00C34CDE"/>
    <w:rsid w:val="00C35117"/>
    <w:rsid w:val="00C3718C"/>
    <w:rsid w:val="00C374FE"/>
    <w:rsid w:val="00C41634"/>
    <w:rsid w:val="00C460B0"/>
    <w:rsid w:val="00C4720A"/>
    <w:rsid w:val="00C509F2"/>
    <w:rsid w:val="00C51312"/>
    <w:rsid w:val="00C513B7"/>
    <w:rsid w:val="00C520FC"/>
    <w:rsid w:val="00C61BCC"/>
    <w:rsid w:val="00C64D12"/>
    <w:rsid w:val="00C6787D"/>
    <w:rsid w:val="00C7492F"/>
    <w:rsid w:val="00C77225"/>
    <w:rsid w:val="00C803DC"/>
    <w:rsid w:val="00C82090"/>
    <w:rsid w:val="00C8214A"/>
    <w:rsid w:val="00C91EA0"/>
    <w:rsid w:val="00C92839"/>
    <w:rsid w:val="00C92EDB"/>
    <w:rsid w:val="00C95685"/>
    <w:rsid w:val="00C96BF4"/>
    <w:rsid w:val="00C97A16"/>
    <w:rsid w:val="00CA1A93"/>
    <w:rsid w:val="00CA1B69"/>
    <w:rsid w:val="00CA3AA0"/>
    <w:rsid w:val="00CA5EC0"/>
    <w:rsid w:val="00CA6B6C"/>
    <w:rsid w:val="00CA762D"/>
    <w:rsid w:val="00CB38E6"/>
    <w:rsid w:val="00CB6861"/>
    <w:rsid w:val="00CB717A"/>
    <w:rsid w:val="00CC187A"/>
    <w:rsid w:val="00CC3556"/>
    <w:rsid w:val="00CC481D"/>
    <w:rsid w:val="00CC5D48"/>
    <w:rsid w:val="00CC6C7B"/>
    <w:rsid w:val="00CC7CA8"/>
    <w:rsid w:val="00CD08DF"/>
    <w:rsid w:val="00CD186E"/>
    <w:rsid w:val="00CD1A25"/>
    <w:rsid w:val="00CD45F9"/>
    <w:rsid w:val="00CE0ED4"/>
    <w:rsid w:val="00CE1C03"/>
    <w:rsid w:val="00CF3FC2"/>
    <w:rsid w:val="00CF5C15"/>
    <w:rsid w:val="00D0027D"/>
    <w:rsid w:val="00D03470"/>
    <w:rsid w:val="00D07AC6"/>
    <w:rsid w:val="00D12EC6"/>
    <w:rsid w:val="00D16E7A"/>
    <w:rsid w:val="00D21B39"/>
    <w:rsid w:val="00D30CB3"/>
    <w:rsid w:val="00D3230B"/>
    <w:rsid w:val="00D347B1"/>
    <w:rsid w:val="00D35610"/>
    <w:rsid w:val="00D36835"/>
    <w:rsid w:val="00D36918"/>
    <w:rsid w:val="00D36AEB"/>
    <w:rsid w:val="00D403B8"/>
    <w:rsid w:val="00D40FB2"/>
    <w:rsid w:val="00D46AAE"/>
    <w:rsid w:val="00D51D5A"/>
    <w:rsid w:val="00D54FE9"/>
    <w:rsid w:val="00D61524"/>
    <w:rsid w:val="00D71BC9"/>
    <w:rsid w:val="00D72076"/>
    <w:rsid w:val="00D72C25"/>
    <w:rsid w:val="00D73580"/>
    <w:rsid w:val="00D73C51"/>
    <w:rsid w:val="00D74A8A"/>
    <w:rsid w:val="00D75BC0"/>
    <w:rsid w:val="00D77686"/>
    <w:rsid w:val="00D77819"/>
    <w:rsid w:val="00D80F35"/>
    <w:rsid w:val="00D82A63"/>
    <w:rsid w:val="00D83A20"/>
    <w:rsid w:val="00D85C4E"/>
    <w:rsid w:val="00D86858"/>
    <w:rsid w:val="00D8705B"/>
    <w:rsid w:val="00D87509"/>
    <w:rsid w:val="00D9075A"/>
    <w:rsid w:val="00D93AA5"/>
    <w:rsid w:val="00DA09F9"/>
    <w:rsid w:val="00DA2920"/>
    <w:rsid w:val="00DA2A63"/>
    <w:rsid w:val="00DA352B"/>
    <w:rsid w:val="00DB1845"/>
    <w:rsid w:val="00DB2085"/>
    <w:rsid w:val="00DB2549"/>
    <w:rsid w:val="00DB5E5E"/>
    <w:rsid w:val="00DB657C"/>
    <w:rsid w:val="00DB6C4A"/>
    <w:rsid w:val="00DC11CF"/>
    <w:rsid w:val="00DC2731"/>
    <w:rsid w:val="00DC4969"/>
    <w:rsid w:val="00DC6244"/>
    <w:rsid w:val="00DD43DA"/>
    <w:rsid w:val="00DD5113"/>
    <w:rsid w:val="00DD5289"/>
    <w:rsid w:val="00DD58A7"/>
    <w:rsid w:val="00DD5FA5"/>
    <w:rsid w:val="00DE0D50"/>
    <w:rsid w:val="00DE28BC"/>
    <w:rsid w:val="00DF1D86"/>
    <w:rsid w:val="00DF4ED7"/>
    <w:rsid w:val="00DF6D3F"/>
    <w:rsid w:val="00DF77F6"/>
    <w:rsid w:val="00DF7AE9"/>
    <w:rsid w:val="00E04568"/>
    <w:rsid w:val="00E05FD2"/>
    <w:rsid w:val="00E060A2"/>
    <w:rsid w:val="00E071FF"/>
    <w:rsid w:val="00E07646"/>
    <w:rsid w:val="00E103D0"/>
    <w:rsid w:val="00E13770"/>
    <w:rsid w:val="00E14005"/>
    <w:rsid w:val="00E144DB"/>
    <w:rsid w:val="00E1601E"/>
    <w:rsid w:val="00E20137"/>
    <w:rsid w:val="00E4214E"/>
    <w:rsid w:val="00E4530A"/>
    <w:rsid w:val="00E47374"/>
    <w:rsid w:val="00E514C5"/>
    <w:rsid w:val="00E51CE0"/>
    <w:rsid w:val="00E52448"/>
    <w:rsid w:val="00E55F40"/>
    <w:rsid w:val="00E56020"/>
    <w:rsid w:val="00E5696B"/>
    <w:rsid w:val="00E610BB"/>
    <w:rsid w:val="00E66D22"/>
    <w:rsid w:val="00E71EE9"/>
    <w:rsid w:val="00E724F9"/>
    <w:rsid w:val="00E7591F"/>
    <w:rsid w:val="00E81321"/>
    <w:rsid w:val="00E8202C"/>
    <w:rsid w:val="00E83A68"/>
    <w:rsid w:val="00EA040F"/>
    <w:rsid w:val="00EA19EE"/>
    <w:rsid w:val="00EA5657"/>
    <w:rsid w:val="00EA604C"/>
    <w:rsid w:val="00EA6403"/>
    <w:rsid w:val="00EA6A48"/>
    <w:rsid w:val="00EB00E6"/>
    <w:rsid w:val="00EB10BC"/>
    <w:rsid w:val="00EB1EE9"/>
    <w:rsid w:val="00EB4D64"/>
    <w:rsid w:val="00EB56B2"/>
    <w:rsid w:val="00EB7759"/>
    <w:rsid w:val="00EC4E32"/>
    <w:rsid w:val="00EC5EB0"/>
    <w:rsid w:val="00EC5F02"/>
    <w:rsid w:val="00ED28F6"/>
    <w:rsid w:val="00ED2B68"/>
    <w:rsid w:val="00ED3F82"/>
    <w:rsid w:val="00ED4D16"/>
    <w:rsid w:val="00ED4EF3"/>
    <w:rsid w:val="00EE434D"/>
    <w:rsid w:val="00EE44AE"/>
    <w:rsid w:val="00EF2C9B"/>
    <w:rsid w:val="00EF7506"/>
    <w:rsid w:val="00F02314"/>
    <w:rsid w:val="00F043B3"/>
    <w:rsid w:val="00F07506"/>
    <w:rsid w:val="00F12AEB"/>
    <w:rsid w:val="00F15430"/>
    <w:rsid w:val="00F159EA"/>
    <w:rsid w:val="00F162A8"/>
    <w:rsid w:val="00F16E3D"/>
    <w:rsid w:val="00F2369E"/>
    <w:rsid w:val="00F240E3"/>
    <w:rsid w:val="00F24E79"/>
    <w:rsid w:val="00F254C8"/>
    <w:rsid w:val="00F271A0"/>
    <w:rsid w:val="00F27246"/>
    <w:rsid w:val="00F30D8E"/>
    <w:rsid w:val="00F318FD"/>
    <w:rsid w:val="00F3498A"/>
    <w:rsid w:val="00F35C57"/>
    <w:rsid w:val="00F40F07"/>
    <w:rsid w:val="00F42E2A"/>
    <w:rsid w:val="00F47AC8"/>
    <w:rsid w:val="00F5014C"/>
    <w:rsid w:val="00F53C4C"/>
    <w:rsid w:val="00F548B7"/>
    <w:rsid w:val="00F550F9"/>
    <w:rsid w:val="00F566E9"/>
    <w:rsid w:val="00F63C9A"/>
    <w:rsid w:val="00F6449B"/>
    <w:rsid w:val="00F65C79"/>
    <w:rsid w:val="00F7092D"/>
    <w:rsid w:val="00F733B9"/>
    <w:rsid w:val="00F82460"/>
    <w:rsid w:val="00F84095"/>
    <w:rsid w:val="00F84DF6"/>
    <w:rsid w:val="00F85647"/>
    <w:rsid w:val="00F878C8"/>
    <w:rsid w:val="00F91077"/>
    <w:rsid w:val="00F92C79"/>
    <w:rsid w:val="00F95D36"/>
    <w:rsid w:val="00FA2CBA"/>
    <w:rsid w:val="00FB0C6D"/>
    <w:rsid w:val="00FB1F2B"/>
    <w:rsid w:val="00FB1F8E"/>
    <w:rsid w:val="00FB253F"/>
    <w:rsid w:val="00FB3329"/>
    <w:rsid w:val="00FB3ABF"/>
    <w:rsid w:val="00FB619B"/>
    <w:rsid w:val="00FB67E3"/>
    <w:rsid w:val="00FC2099"/>
    <w:rsid w:val="00FC60E3"/>
    <w:rsid w:val="00FC72B8"/>
    <w:rsid w:val="00FC7C00"/>
    <w:rsid w:val="00FD283C"/>
    <w:rsid w:val="00FD486B"/>
    <w:rsid w:val="00FD4ED7"/>
    <w:rsid w:val="00FD710B"/>
    <w:rsid w:val="00FE07DA"/>
    <w:rsid w:val="00FE5780"/>
    <w:rsid w:val="00FE5D6F"/>
    <w:rsid w:val="00FE5E6C"/>
    <w:rsid w:val="00FE6CB1"/>
    <w:rsid w:val="00FE78FF"/>
    <w:rsid w:val="00FF2B8B"/>
    <w:rsid w:val="00FF473E"/>
    <w:rsid w:val="00FF4E1C"/>
    <w:rsid w:val="00FF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7C11"/>
  <w15:chartTrackingRefBased/>
  <w15:docId w15:val="{F984943A-A3CB-49F7-8E66-E8976A9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29"/>
    <w:pPr>
      <w:spacing w:after="120"/>
    </w:pPr>
    <w:rPr>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qFormat/>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rFonts w:eastAsiaTheme="minorEastAsia"/>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eastAsiaTheme="minorEastAsia"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Bullet List Paragraph,Use Case List Paragraph,List Paragraph1"/>
    <w:basedOn w:val="Normal"/>
    <w:link w:val="ListParagraphChar"/>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paragraph" w:styleId="BodyText">
    <w:name w:val="Body Text"/>
    <w:basedOn w:val="Normal"/>
    <w:link w:val="BodyTextChar"/>
    <w:uiPriority w:val="99"/>
    <w:semiHidden/>
    <w:unhideWhenUsed/>
    <w:rsid w:val="00313EEE"/>
  </w:style>
  <w:style w:type="character" w:customStyle="1" w:styleId="BodyTextChar">
    <w:name w:val="Body Text Char"/>
    <w:basedOn w:val="DefaultParagraphFont"/>
    <w:link w:val="BodyText"/>
    <w:uiPriority w:val="99"/>
    <w:semiHidden/>
    <w:rsid w:val="00313EEE"/>
    <w:rPr>
      <w:sz w:val="20"/>
      <w:szCs w:val="20"/>
      <w:lang w:val="en-GB"/>
    </w:rPr>
  </w:style>
  <w:style w:type="paragraph" w:styleId="Revision">
    <w:name w:val="Revision"/>
    <w:hidden/>
    <w:uiPriority w:val="99"/>
    <w:semiHidden/>
    <w:rsid w:val="00C509F2"/>
    <w:rPr>
      <w:sz w:val="20"/>
      <w:szCs w:val="20"/>
      <w:lang w:val="en-GB"/>
    </w:rPr>
  </w:style>
  <w:style w:type="paragraph" w:customStyle="1" w:styleId="pmargin01">
    <w:name w:val="pmargin01"/>
    <w:basedOn w:val="Normal"/>
    <w:rsid w:val="0084159F"/>
    <w:pPr>
      <w:spacing w:before="100" w:beforeAutospacing="1" w:after="100" w:afterAutospacing="1"/>
    </w:pPr>
    <w:rPr>
      <w:rFonts w:ascii="Times New Roman" w:eastAsia="Times New Roman" w:hAnsi="Times New Roman" w:cs="Times New Roman"/>
      <w:sz w:val="24"/>
      <w:szCs w:val="24"/>
      <w:lang w:val="en-AE"/>
    </w:rPr>
  </w:style>
  <w:style w:type="paragraph" w:customStyle="1" w:styleId="pmargin010">
    <w:name w:val="pmargin_01"/>
    <w:basedOn w:val="Normal"/>
    <w:rsid w:val="00546705"/>
    <w:pPr>
      <w:spacing w:before="100" w:beforeAutospacing="1" w:after="100" w:afterAutospacing="1"/>
    </w:pPr>
    <w:rPr>
      <w:rFonts w:ascii="Times New Roman" w:eastAsia="Times New Roman" w:hAnsi="Times New Roman" w:cs="Times New Roman"/>
      <w:sz w:val="24"/>
      <w:szCs w:val="24"/>
      <w:lang w:val="en-AE"/>
    </w:rPr>
  </w:style>
  <w:style w:type="paragraph" w:customStyle="1" w:styleId="Default">
    <w:name w:val="Default"/>
    <w:rsid w:val="00B04A5E"/>
    <w:pPr>
      <w:autoSpaceDE w:val="0"/>
      <w:autoSpaceDN w:val="0"/>
      <w:adjustRightInd w:val="0"/>
    </w:pPr>
    <w:rPr>
      <w:rFonts w:ascii="Arial Nova" w:hAnsi="Arial Nova" w:cs="Arial Nova"/>
      <w:color w:val="000000"/>
      <w:sz w:val="24"/>
      <w:szCs w:val="24"/>
      <w:lang w:val="en-IN"/>
    </w:rPr>
  </w:style>
  <w:style w:type="character" w:customStyle="1" w:styleId="ListParagraphChar">
    <w:name w:val="List Paragraph Char"/>
    <w:aliases w:val="Numbered List Char,Bullet List Paragraph Char,Use Case List Paragraph Char,List Paragraph1 Char"/>
    <w:basedOn w:val="DefaultParagraphFont"/>
    <w:link w:val="ListParagraph"/>
    <w:uiPriority w:val="34"/>
    <w:locked/>
    <w:rsid w:val="00B04A5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5161">
      <w:bodyDiv w:val="1"/>
      <w:marLeft w:val="0"/>
      <w:marRight w:val="0"/>
      <w:marTop w:val="0"/>
      <w:marBottom w:val="0"/>
      <w:divBdr>
        <w:top w:val="none" w:sz="0" w:space="0" w:color="auto"/>
        <w:left w:val="none" w:sz="0" w:space="0" w:color="auto"/>
        <w:bottom w:val="none" w:sz="0" w:space="0" w:color="auto"/>
        <w:right w:val="none" w:sz="0" w:space="0" w:color="auto"/>
      </w:divBdr>
    </w:div>
    <w:div w:id="618949917">
      <w:bodyDiv w:val="1"/>
      <w:marLeft w:val="0"/>
      <w:marRight w:val="0"/>
      <w:marTop w:val="0"/>
      <w:marBottom w:val="0"/>
      <w:divBdr>
        <w:top w:val="none" w:sz="0" w:space="0" w:color="auto"/>
        <w:left w:val="none" w:sz="0" w:space="0" w:color="auto"/>
        <w:bottom w:val="none" w:sz="0" w:space="0" w:color="auto"/>
        <w:right w:val="none" w:sz="0" w:space="0" w:color="auto"/>
      </w:divBdr>
    </w:div>
    <w:div w:id="703679119">
      <w:bodyDiv w:val="1"/>
      <w:marLeft w:val="0"/>
      <w:marRight w:val="0"/>
      <w:marTop w:val="0"/>
      <w:marBottom w:val="0"/>
      <w:divBdr>
        <w:top w:val="none" w:sz="0" w:space="0" w:color="auto"/>
        <w:left w:val="none" w:sz="0" w:space="0" w:color="auto"/>
        <w:bottom w:val="none" w:sz="0" w:space="0" w:color="auto"/>
        <w:right w:val="none" w:sz="0" w:space="0" w:color="auto"/>
      </w:divBdr>
    </w:div>
    <w:div w:id="1903976392">
      <w:bodyDiv w:val="1"/>
      <w:marLeft w:val="0"/>
      <w:marRight w:val="0"/>
      <w:marTop w:val="0"/>
      <w:marBottom w:val="0"/>
      <w:divBdr>
        <w:top w:val="none" w:sz="0" w:space="0" w:color="auto"/>
        <w:left w:val="none" w:sz="0" w:space="0" w:color="auto"/>
        <w:bottom w:val="none" w:sz="0" w:space="0" w:color="auto"/>
        <w:right w:val="none" w:sz="0" w:space="0" w:color="auto"/>
      </w:divBdr>
      <w:divsChild>
        <w:div w:id="136340749">
          <w:marLeft w:val="0"/>
          <w:marRight w:val="0"/>
          <w:marTop w:val="0"/>
          <w:marBottom w:val="0"/>
          <w:divBdr>
            <w:top w:val="none" w:sz="0" w:space="0" w:color="auto"/>
            <w:left w:val="none" w:sz="0" w:space="0" w:color="auto"/>
            <w:bottom w:val="none" w:sz="0" w:space="0" w:color="auto"/>
            <w:right w:val="none" w:sz="0" w:space="0" w:color="auto"/>
          </w:divBdr>
          <w:divsChild>
            <w:div w:id="555824782">
              <w:marLeft w:val="0"/>
              <w:marRight w:val="0"/>
              <w:marTop w:val="0"/>
              <w:marBottom w:val="0"/>
              <w:divBdr>
                <w:top w:val="none" w:sz="0" w:space="0" w:color="auto"/>
                <w:left w:val="none" w:sz="0" w:space="0" w:color="auto"/>
                <w:bottom w:val="none" w:sz="0" w:space="0" w:color="auto"/>
                <w:right w:val="none" w:sz="0" w:space="0" w:color="auto"/>
              </w:divBdr>
              <w:divsChild>
                <w:div w:id="168443879">
                  <w:marLeft w:val="0"/>
                  <w:marRight w:val="0"/>
                  <w:marTop w:val="0"/>
                  <w:marBottom w:val="0"/>
                  <w:divBdr>
                    <w:top w:val="none" w:sz="0" w:space="0" w:color="auto"/>
                    <w:left w:val="none" w:sz="0" w:space="0" w:color="auto"/>
                    <w:bottom w:val="none" w:sz="0" w:space="0" w:color="auto"/>
                    <w:right w:val="none" w:sz="0" w:space="0" w:color="auto"/>
                  </w:divBdr>
                  <w:divsChild>
                    <w:div w:id="265046361">
                      <w:marLeft w:val="0"/>
                      <w:marRight w:val="0"/>
                      <w:marTop w:val="0"/>
                      <w:marBottom w:val="0"/>
                      <w:divBdr>
                        <w:top w:val="none" w:sz="0" w:space="0" w:color="auto"/>
                        <w:left w:val="none" w:sz="0" w:space="0" w:color="auto"/>
                        <w:bottom w:val="none" w:sz="0" w:space="0" w:color="auto"/>
                        <w:right w:val="none" w:sz="0" w:space="0" w:color="auto"/>
                      </w:divBdr>
                      <w:divsChild>
                        <w:div w:id="1650860702">
                          <w:marLeft w:val="0"/>
                          <w:marRight w:val="0"/>
                          <w:marTop w:val="0"/>
                          <w:marBottom w:val="0"/>
                          <w:divBdr>
                            <w:top w:val="none" w:sz="0" w:space="0" w:color="auto"/>
                            <w:left w:val="none" w:sz="0" w:space="0" w:color="auto"/>
                            <w:bottom w:val="none" w:sz="0" w:space="0" w:color="auto"/>
                            <w:right w:val="none" w:sz="0" w:space="0" w:color="auto"/>
                          </w:divBdr>
                          <w:divsChild>
                            <w:div w:id="1110277261">
                              <w:marLeft w:val="0"/>
                              <w:marRight w:val="0"/>
                              <w:marTop w:val="0"/>
                              <w:marBottom w:val="0"/>
                              <w:divBdr>
                                <w:top w:val="none" w:sz="0" w:space="0" w:color="auto"/>
                                <w:left w:val="none" w:sz="0" w:space="0" w:color="auto"/>
                                <w:bottom w:val="none" w:sz="0" w:space="0" w:color="auto"/>
                                <w:right w:val="none" w:sz="0" w:space="0" w:color="auto"/>
                              </w:divBdr>
                              <w:divsChild>
                                <w:div w:id="279384097">
                                  <w:marLeft w:val="0"/>
                                  <w:marRight w:val="0"/>
                                  <w:marTop w:val="0"/>
                                  <w:marBottom w:val="0"/>
                                  <w:divBdr>
                                    <w:top w:val="none" w:sz="0" w:space="0" w:color="auto"/>
                                    <w:left w:val="none" w:sz="0" w:space="0" w:color="auto"/>
                                    <w:bottom w:val="none" w:sz="0" w:space="0" w:color="auto"/>
                                    <w:right w:val="none" w:sz="0" w:space="0" w:color="auto"/>
                                  </w:divBdr>
                                  <w:divsChild>
                                    <w:div w:id="1240477643">
                                      <w:marLeft w:val="0"/>
                                      <w:marRight w:val="0"/>
                                      <w:marTop w:val="0"/>
                                      <w:marBottom w:val="0"/>
                                      <w:divBdr>
                                        <w:top w:val="none" w:sz="0" w:space="0" w:color="auto"/>
                                        <w:left w:val="none" w:sz="0" w:space="0" w:color="auto"/>
                                        <w:bottom w:val="none" w:sz="0" w:space="0" w:color="auto"/>
                                        <w:right w:val="none" w:sz="0" w:space="0" w:color="auto"/>
                                      </w:divBdr>
                                      <w:divsChild>
                                        <w:div w:id="1864321568">
                                          <w:marLeft w:val="0"/>
                                          <w:marRight w:val="0"/>
                                          <w:marTop w:val="0"/>
                                          <w:marBottom w:val="0"/>
                                          <w:divBdr>
                                            <w:top w:val="none" w:sz="0" w:space="0" w:color="auto"/>
                                            <w:left w:val="none" w:sz="0" w:space="0" w:color="auto"/>
                                            <w:bottom w:val="none" w:sz="0" w:space="0" w:color="auto"/>
                                            <w:right w:val="none" w:sz="0" w:space="0" w:color="auto"/>
                                          </w:divBdr>
                                          <w:divsChild>
                                            <w:div w:id="1777363338">
                                              <w:marLeft w:val="0"/>
                                              <w:marRight w:val="0"/>
                                              <w:marTop w:val="0"/>
                                              <w:marBottom w:val="0"/>
                                              <w:divBdr>
                                                <w:top w:val="none" w:sz="0" w:space="0" w:color="auto"/>
                                                <w:left w:val="none" w:sz="0" w:space="0" w:color="auto"/>
                                                <w:bottom w:val="none" w:sz="0" w:space="0" w:color="auto"/>
                                                <w:right w:val="none" w:sz="0" w:space="0" w:color="auto"/>
                                              </w:divBdr>
                                              <w:divsChild>
                                                <w:div w:id="2061007576">
                                                  <w:marLeft w:val="0"/>
                                                  <w:marRight w:val="0"/>
                                                  <w:marTop w:val="0"/>
                                                  <w:marBottom w:val="0"/>
                                                  <w:divBdr>
                                                    <w:top w:val="none" w:sz="0" w:space="0" w:color="auto"/>
                                                    <w:left w:val="none" w:sz="0" w:space="0" w:color="auto"/>
                                                    <w:bottom w:val="none" w:sz="0" w:space="0" w:color="auto"/>
                                                    <w:right w:val="none" w:sz="0" w:space="0" w:color="auto"/>
                                                  </w:divBdr>
                                                  <w:divsChild>
                                                    <w:div w:id="1508209138">
                                                      <w:marLeft w:val="0"/>
                                                      <w:marRight w:val="0"/>
                                                      <w:marTop w:val="0"/>
                                                      <w:marBottom w:val="0"/>
                                                      <w:divBdr>
                                                        <w:top w:val="none" w:sz="0" w:space="0" w:color="auto"/>
                                                        <w:left w:val="none" w:sz="0" w:space="0" w:color="auto"/>
                                                        <w:bottom w:val="none" w:sz="0" w:space="0" w:color="auto"/>
                                                        <w:right w:val="none" w:sz="0" w:space="0" w:color="auto"/>
                                                      </w:divBdr>
                                                      <w:divsChild>
                                                        <w:div w:id="1257515500">
                                                          <w:marLeft w:val="0"/>
                                                          <w:marRight w:val="0"/>
                                                          <w:marTop w:val="0"/>
                                                          <w:marBottom w:val="0"/>
                                                          <w:divBdr>
                                                            <w:top w:val="none" w:sz="0" w:space="0" w:color="auto"/>
                                                            <w:left w:val="none" w:sz="0" w:space="0" w:color="auto"/>
                                                            <w:bottom w:val="none" w:sz="0" w:space="0" w:color="auto"/>
                                                            <w:right w:val="none" w:sz="0" w:space="0" w:color="auto"/>
                                                          </w:divBdr>
                                                          <w:divsChild>
                                                            <w:div w:id="14061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530005">
          <w:marLeft w:val="0"/>
          <w:marRight w:val="0"/>
          <w:marTop w:val="0"/>
          <w:marBottom w:val="0"/>
          <w:divBdr>
            <w:top w:val="none" w:sz="0" w:space="0" w:color="auto"/>
            <w:left w:val="none" w:sz="0" w:space="0" w:color="auto"/>
            <w:bottom w:val="none" w:sz="0" w:space="0" w:color="auto"/>
            <w:right w:val="none" w:sz="0" w:space="0" w:color="auto"/>
          </w:divBdr>
          <w:divsChild>
            <w:div w:id="177700570">
              <w:marLeft w:val="0"/>
              <w:marRight w:val="0"/>
              <w:marTop w:val="0"/>
              <w:marBottom w:val="0"/>
              <w:divBdr>
                <w:top w:val="none" w:sz="0" w:space="0" w:color="auto"/>
                <w:left w:val="none" w:sz="0" w:space="0" w:color="auto"/>
                <w:bottom w:val="none" w:sz="0" w:space="0" w:color="auto"/>
                <w:right w:val="none" w:sz="0" w:space="0" w:color="auto"/>
              </w:divBdr>
              <w:divsChild>
                <w:div w:id="2078941927">
                  <w:marLeft w:val="0"/>
                  <w:marRight w:val="0"/>
                  <w:marTop w:val="0"/>
                  <w:marBottom w:val="0"/>
                  <w:divBdr>
                    <w:top w:val="none" w:sz="0" w:space="0" w:color="auto"/>
                    <w:left w:val="none" w:sz="0" w:space="0" w:color="auto"/>
                    <w:bottom w:val="none" w:sz="0" w:space="0" w:color="auto"/>
                    <w:right w:val="none" w:sz="0" w:space="0" w:color="auto"/>
                  </w:divBdr>
                  <w:divsChild>
                    <w:div w:id="317151098">
                      <w:marLeft w:val="0"/>
                      <w:marRight w:val="0"/>
                      <w:marTop w:val="0"/>
                      <w:marBottom w:val="0"/>
                      <w:divBdr>
                        <w:top w:val="none" w:sz="0" w:space="0" w:color="auto"/>
                        <w:left w:val="none" w:sz="0" w:space="0" w:color="auto"/>
                        <w:bottom w:val="none" w:sz="0" w:space="0" w:color="auto"/>
                        <w:right w:val="none" w:sz="0" w:space="0" w:color="auto"/>
                      </w:divBdr>
                      <w:divsChild>
                        <w:div w:id="1703481242">
                          <w:marLeft w:val="0"/>
                          <w:marRight w:val="0"/>
                          <w:marTop w:val="0"/>
                          <w:marBottom w:val="0"/>
                          <w:divBdr>
                            <w:top w:val="none" w:sz="0" w:space="0" w:color="auto"/>
                            <w:left w:val="none" w:sz="0" w:space="0" w:color="auto"/>
                            <w:bottom w:val="none" w:sz="0" w:space="0" w:color="auto"/>
                            <w:right w:val="none" w:sz="0" w:space="0" w:color="auto"/>
                          </w:divBdr>
                          <w:divsChild>
                            <w:div w:id="1951273988">
                              <w:marLeft w:val="0"/>
                              <w:marRight w:val="0"/>
                              <w:marTop w:val="0"/>
                              <w:marBottom w:val="0"/>
                              <w:divBdr>
                                <w:top w:val="none" w:sz="0" w:space="0" w:color="auto"/>
                                <w:left w:val="none" w:sz="0" w:space="0" w:color="auto"/>
                                <w:bottom w:val="none" w:sz="0" w:space="0" w:color="auto"/>
                                <w:right w:val="none" w:sz="0" w:space="0" w:color="auto"/>
                              </w:divBdr>
                              <w:divsChild>
                                <w:div w:id="1769615533">
                                  <w:marLeft w:val="0"/>
                                  <w:marRight w:val="0"/>
                                  <w:marTop w:val="0"/>
                                  <w:marBottom w:val="0"/>
                                  <w:divBdr>
                                    <w:top w:val="none" w:sz="0" w:space="0" w:color="auto"/>
                                    <w:left w:val="none" w:sz="0" w:space="0" w:color="auto"/>
                                    <w:bottom w:val="none" w:sz="0" w:space="0" w:color="auto"/>
                                    <w:right w:val="none" w:sz="0" w:space="0" w:color="auto"/>
                                  </w:divBdr>
                                  <w:divsChild>
                                    <w:div w:id="12128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80067">
          <w:marLeft w:val="0"/>
          <w:marRight w:val="0"/>
          <w:marTop w:val="0"/>
          <w:marBottom w:val="0"/>
          <w:divBdr>
            <w:top w:val="none" w:sz="0" w:space="0" w:color="auto"/>
            <w:left w:val="none" w:sz="0" w:space="0" w:color="auto"/>
            <w:bottom w:val="none" w:sz="0" w:space="0" w:color="auto"/>
            <w:right w:val="none" w:sz="0" w:space="0" w:color="auto"/>
          </w:divBdr>
          <w:divsChild>
            <w:div w:id="1012994895">
              <w:marLeft w:val="0"/>
              <w:marRight w:val="0"/>
              <w:marTop w:val="0"/>
              <w:marBottom w:val="0"/>
              <w:divBdr>
                <w:top w:val="none" w:sz="0" w:space="0" w:color="auto"/>
                <w:left w:val="none" w:sz="0" w:space="0" w:color="auto"/>
                <w:bottom w:val="none" w:sz="0" w:space="0" w:color="auto"/>
                <w:right w:val="none" w:sz="0" w:space="0" w:color="auto"/>
              </w:divBdr>
              <w:divsChild>
                <w:div w:id="1682245013">
                  <w:marLeft w:val="0"/>
                  <w:marRight w:val="0"/>
                  <w:marTop w:val="0"/>
                  <w:marBottom w:val="0"/>
                  <w:divBdr>
                    <w:top w:val="none" w:sz="0" w:space="0" w:color="auto"/>
                    <w:left w:val="none" w:sz="0" w:space="0" w:color="auto"/>
                    <w:bottom w:val="none" w:sz="0" w:space="0" w:color="auto"/>
                    <w:right w:val="none" w:sz="0" w:space="0" w:color="auto"/>
                  </w:divBdr>
                  <w:divsChild>
                    <w:div w:id="526522235">
                      <w:marLeft w:val="0"/>
                      <w:marRight w:val="0"/>
                      <w:marTop w:val="0"/>
                      <w:marBottom w:val="0"/>
                      <w:divBdr>
                        <w:top w:val="none" w:sz="0" w:space="0" w:color="auto"/>
                        <w:left w:val="none" w:sz="0" w:space="0" w:color="auto"/>
                        <w:bottom w:val="none" w:sz="0" w:space="0" w:color="auto"/>
                        <w:right w:val="none" w:sz="0" w:space="0" w:color="auto"/>
                      </w:divBdr>
                      <w:divsChild>
                        <w:div w:id="2101755756">
                          <w:marLeft w:val="0"/>
                          <w:marRight w:val="0"/>
                          <w:marTop w:val="0"/>
                          <w:marBottom w:val="0"/>
                          <w:divBdr>
                            <w:top w:val="none" w:sz="0" w:space="0" w:color="auto"/>
                            <w:left w:val="none" w:sz="0" w:space="0" w:color="auto"/>
                            <w:bottom w:val="none" w:sz="0" w:space="0" w:color="auto"/>
                            <w:right w:val="none" w:sz="0" w:space="0" w:color="auto"/>
                          </w:divBdr>
                          <w:divsChild>
                            <w:div w:id="1926452814">
                              <w:marLeft w:val="0"/>
                              <w:marRight w:val="0"/>
                              <w:marTop w:val="0"/>
                              <w:marBottom w:val="0"/>
                              <w:divBdr>
                                <w:top w:val="none" w:sz="0" w:space="0" w:color="auto"/>
                                <w:left w:val="none" w:sz="0" w:space="0" w:color="auto"/>
                                <w:bottom w:val="none" w:sz="0" w:space="0" w:color="auto"/>
                                <w:right w:val="none" w:sz="0" w:space="0" w:color="auto"/>
                              </w:divBdr>
                              <w:divsChild>
                                <w:div w:id="719325347">
                                  <w:marLeft w:val="0"/>
                                  <w:marRight w:val="0"/>
                                  <w:marTop w:val="0"/>
                                  <w:marBottom w:val="0"/>
                                  <w:divBdr>
                                    <w:top w:val="none" w:sz="0" w:space="0" w:color="auto"/>
                                    <w:left w:val="none" w:sz="0" w:space="0" w:color="auto"/>
                                    <w:bottom w:val="none" w:sz="0" w:space="0" w:color="auto"/>
                                    <w:right w:val="none" w:sz="0" w:space="0" w:color="auto"/>
                                  </w:divBdr>
                                  <w:divsChild>
                                    <w:div w:id="1606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7279">
      <w:bodyDiv w:val="1"/>
      <w:marLeft w:val="0"/>
      <w:marRight w:val="0"/>
      <w:marTop w:val="0"/>
      <w:marBottom w:val="0"/>
      <w:divBdr>
        <w:top w:val="none" w:sz="0" w:space="0" w:color="auto"/>
        <w:left w:val="none" w:sz="0" w:space="0" w:color="auto"/>
        <w:bottom w:val="none" w:sz="0" w:space="0" w:color="auto"/>
        <w:right w:val="none" w:sz="0" w:space="0" w:color="auto"/>
      </w:divBdr>
    </w:div>
    <w:div w:id="2028872041">
      <w:bodyDiv w:val="1"/>
      <w:marLeft w:val="0"/>
      <w:marRight w:val="0"/>
      <w:marTop w:val="0"/>
      <w:marBottom w:val="0"/>
      <w:divBdr>
        <w:top w:val="none" w:sz="0" w:space="0" w:color="auto"/>
        <w:left w:val="none" w:sz="0" w:space="0" w:color="auto"/>
        <w:bottom w:val="none" w:sz="0" w:space="0" w:color="auto"/>
        <w:right w:val="none" w:sz="0" w:space="0" w:color="auto"/>
      </w:divBdr>
      <w:divsChild>
        <w:div w:id="2903389">
          <w:marLeft w:val="0"/>
          <w:marRight w:val="0"/>
          <w:marTop w:val="0"/>
          <w:marBottom w:val="0"/>
          <w:divBdr>
            <w:top w:val="none" w:sz="0" w:space="0" w:color="auto"/>
            <w:left w:val="none" w:sz="0" w:space="0" w:color="auto"/>
            <w:bottom w:val="none" w:sz="0" w:space="0" w:color="auto"/>
            <w:right w:val="none" w:sz="0" w:space="0" w:color="auto"/>
          </w:divBdr>
          <w:divsChild>
            <w:div w:id="1770659492">
              <w:marLeft w:val="0"/>
              <w:marRight w:val="0"/>
              <w:marTop w:val="0"/>
              <w:marBottom w:val="0"/>
              <w:divBdr>
                <w:top w:val="none" w:sz="0" w:space="0" w:color="auto"/>
                <w:left w:val="none" w:sz="0" w:space="0" w:color="auto"/>
                <w:bottom w:val="none" w:sz="0" w:space="0" w:color="auto"/>
                <w:right w:val="none" w:sz="0" w:space="0" w:color="auto"/>
              </w:divBdr>
              <w:divsChild>
                <w:div w:id="18377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699CC-E8C9-4DC3-BD7C-4A3D8B0716F3}">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5</cp:revision>
  <cp:lastPrinted>2023-03-13T13:19:00Z</cp:lastPrinted>
  <dcterms:created xsi:type="dcterms:W3CDTF">2023-03-13T13:37:00Z</dcterms:created>
  <dcterms:modified xsi:type="dcterms:W3CDTF">2023-03-13T14:33:00Z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a1de4021-da51-4423-823b-360e000f5b57</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2022-10-24T14:14:24Z</vt:lpwstr>
  </property>
  <property fmtid="{D5CDD505-2E9C-101B-9397-08002B2CF9AE}" pid="8" name="MSIP_Label_e1da0be8-9b43-41b6-9549-69b8e68dc6f8_SiteId">
    <vt:lpwstr>266f8c24-cc05-41b8-b635-ffaf4ee49853</vt:lpwstr>
  </property>
</Properties>
</file>